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FF1" w:rsidRPr="005270DD" w:rsidRDefault="00663FF1" w:rsidP="00663FF1">
      <w:pPr>
        <w:pStyle w:val="Rubrik1"/>
        <w:spacing w:after="120"/>
      </w:pPr>
      <w:bookmarkStart w:id="0" w:name="_Toc433726366"/>
      <w:bookmarkStart w:id="1" w:name="_GoBack"/>
      <w:bookmarkEnd w:id="1"/>
      <w:r w:rsidRPr="005270DD">
        <w:t>I. EXECUTIVE SUMMARY</w:t>
      </w:r>
      <w:bookmarkEnd w:id="0"/>
    </w:p>
    <w:p w:rsidR="00663FF1" w:rsidRDefault="00663FF1" w:rsidP="00663FF1">
      <w:pPr>
        <w:pStyle w:val="Citat"/>
        <w:ind w:left="1080"/>
      </w:pPr>
      <w:r w:rsidRPr="00F77892">
        <w:t>“Hammarby Sjöstad is a good example of not only focusing on the short term aspects and get</w:t>
      </w:r>
      <w:r>
        <w:t>ting</w:t>
      </w:r>
      <w:r w:rsidRPr="00F77892">
        <w:t xml:space="preserve"> short term profit</w:t>
      </w:r>
      <w:r>
        <w:t>s</w:t>
      </w:r>
      <w:r w:rsidRPr="00F77892">
        <w:t xml:space="preserve"> but also investing for the future and </w:t>
      </w:r>
      <w:r>
        <w:t>increasing revenue</w:t>
      </w:r>
      <w:r w:rsidRPr="00F77892">
        <w:t xml:space="preserve"> The cost for Hammarby was roughly 5 percent higher from a purely construction cost perspective but in the end you get back roughly 25 percent more property value out on the site over time which </w:t>
      </w:r>
      <w:r>
        <w:t>shows</w:t>
      </w:r>
      <w:r w:rsidRPr="00F77892">
        <w:t xml:space="preserve"> how real value is created over time.” </w:t>
      </w:r>
    </w:p>
    <w:p w:rsidR="00663FF1" w:rsidRPr="005270DD" w:rsidRDefault="00663FF1" w:rsidP="00663FF1">
      <w:pPr>
        <w:pStyle w:val="Citat"/>
        <w:ind w:left="1080"/>
        <w:jc w:val="right"/>
        <w:rPr>
          <w:szCs w:val="28"/>
        </w:rPr>
      </w:pPr>
      <w:r w:rsidRPr="005270DD">
        <w:rPr>
          <w:szCs w:val="28"/>
        </w:rPr>
        <w:t xml:space="preserve">- Henrik </w:t>
      </w:r>
      <w:proofErr w:type="spellStart"/>
      <w:r w:rsidRPr="005270DD">
        <w:rPr>
          <w:szCs w:val="28"/>
        </w:rPr>
        <w:t>Svanqvist</w:t>
      </w:r>
      <w:proofErr w:type="spellEnd"/>
      <w:r w:rsidRPr="005270DD">
        <w:rPr>
          <w:szCs w:val="28"/>
        </w:rPr>
        <w:t>, Director of Communities, Skanska</w:t>
      </w:r>
    </w:p>
    <w:p w:rsidR="00663FF1" w:rsidRDefault="00663FF1" w:rsidP="00663FF1">
      <w:pPr>
        <w:tabs>
          <w:tab w:val="left" w:pos="851"/>
        </w:tabs>
        <w:spacing w:line="276" w:lineRule="auto"/>
        <w:rPr>
          <w:rFonts w:cs="Arial"/>
        </w:rPr>
      </w:pPr>
    </w:p>
    <w:p w:rsidR="00663FF1" w:rsidRPr="00F77892" w:rsidRDefault="00663FF1" w:rsidP="00663FF1">
      <w:pPr>
        <w:tabs>
          <w:tab w:val="left" w:pos="851"/>
        </w:tabs>
        <w:spacing w:line="276" w:lineRule="auto"/>
        <w:rPr>
          <w:rFonts w:cs="Arial"/>
        </w:rPr>
      </w:pPr>
      <w:r w:rsidRPr="00F77892">
        <w:rPr>
          <w:rFonts w:cs="Arial"/>
        </w:rPr>
        <w:t xml:space="preserve">This case study is a part of </w:t>
      </w:r>
      <w:r w:rsidRPr="0061492A">
        <w:rPr>
          <w:rFonts w:cs="Arial"/>
        </w:rPr>
        <w:t>China Development Bank Capital’s Green and Smart Urban Development Guidelines</w:t>
      </w:r>
      <w:r>
        <w:rPr>
          <w:rFonts w:cs="Arial"/>
          <w:i/>
        </w:rPr>
        <w:t xml:space="preserve">. </w:t>
      </w:r>
      <w:r>
        <w:rPr>
          <w:rFonts w:cs="Arial"/>
        </w:rPr>
        <w:t xml:space="preserve">The study is framed around the 12 Green Guidelines, </w:t>
      </w:r>
      <w:r w:rsidRPr="006E62F1">
        <w:rPr>
          <w:rFonts w:cs="Arial"/>
        </w:rPr>
        <w:t>hereafter referred to as the</w:t>
      </w:r>
      <w:r>
        <w:rPr>
          <w:rFonts w:cs="Arial"/>
        </w:rPr>
        <w:t xml:space="preserve"> “</w:t>
      </w:r>
      <w:r w:rsidRPr="006E62F1">
        <w:rPr>
          <w:rFonts w:cs="Arial"/>
        </w:rPr>
        <w:t>Green G</w:t>
      </w:r>
      <w:r>
        <w:rPr>
          <w:rFonts w:cs="Arial"/>
        </w:rPr>
        <w:t>uidelines</w:t>
      </w:r>
      <w:r w:rsidRPr="006E62F1">
        <w:rPr>
          <w:rFonts w:cs="Arial"/>
        </w:rPr>
        <w:t>.</w:t>
      </w:r>
      <w:r>
        <w:rPr>
          <w:rFonts w:cs="Arial"/>
        </w:rPr>
        <w:t>”</w:t>
      </w:r>
      <w:r w:rsidRPr="00F77892">
        <w:rPr>
          <w:rFonts w:cs="Arial"/>
        </w:rPr>
        <w:t xml:space="preserve"> These </w:t>
      </w:r>
      <w:r>
        <w:rPr>
          <w:rFonts w:cs="Arial"/>
        </w:rPr>
        <w:t>12 Green Guidelines</w:t>
      </w:r>
      <w:r w:rsidRPr="00F77892">
        <w:rPr>
          <w:rFonts w:cs="Arial"/>
        </w:rPr>
        <w:t xml:space="preserve"> define the </w:t>
      </w:r>
      <w:r>
        <w:rPr>
          <w:rFonts w:cs="Arial"/>
        </w:rPr>
        <w:t>foundational</w:t>
      </w:r>
      <w:r w:rsidRPr="00F77892">
        <w:rPr>
          <w:rFonts w:cs="Arial"/>
        </w:rPr>
        <w:t xml:space="preserve"> sustainability metrics that should be used to evaluate an urban development project. </w:t>
      </w:r>
      <w:r>
        <w:rPr>
          <w:rFonts w:cs="Arial"/>
        </w:rPr>
        <w:t xml:space="preserve">Our study shows that the 12 Green Guidelines are not only the foundation for sustainability, they are also key conditions for economic and social success. </w:t>
      </w:r>
    </w:p>
    <w:p w:rsidR="00663FF1" w:rsidRDefault="00663FF1" w:rsidP="00663FF1">
      <w:pPr>
        <w:tabs>
          <w:tab w:val="left" w:pos="851"/>
        </w:tabs>
        <w:spacing w:line="276" w:lineRule="auto"/>
        <w:rPr>
          <w:rFonts w:cs="Arial"/>
        </w:rPr>
      </w:pPr>
      <w:r w:rsidRPr="00F77892">
        <w:rPr>
          <w:rFonts w:cs="Arial"/>
        </w:rPr>
        <w:t xml:space="preserve">This case study provides a comprehensive look at the sustainable urban development process of Hammarby </w:t>
      </w:r>
      <w:r w:rsidRPr="001B0B5C">
        <w:rPr>
          <w:rFonts w:cs="Arial"/>
        </w:rPr>
        <w:t>Sjöstad</w:t>
      </w:r>
      <w:r w:rsidRPr="00F77892">
        <w:rPr>
          <w:rFonts w:cs="Arial"/>
        </w:rPr>
        <w:t xml:space="preserve">. </w:t>
      </w:r>
      <w:r>
        <w:rPr>
          <w:rFonts w:cs="Arial"/>
        </w:rPr>
        <w:t>The</w:t>
      </w:r>
      <w:r w:rsidRPr="00F77892">
        <w:rPr>
          <w:rFonts w:cs="Arial"/>
        </w:rPr>
        <w:t xml:space="preserve"> study is organized around </w:t>
      </w:r>
      <w:r>
        <w:rPr>
          <w:rFonts w:cs="Arial"/>
        </w:rPr>
        <w:t xml:space="preserve">each of </w:t>
      </w:r>
      <w:r w:rsidRPr="00F77892">
        <w:rPr>
          <w:rFonts w:cs="Arial"/>
        </w:rPr>
        <w:t>the Green Guidelines and expands on the goals, processes, and mechanisms that made Hammarby Sjöstad a sustainable and economically prosperous urban development.</w:t>
      </w:r>
      <w:r>
        <w:rPr>
          <w:rStyle w:val="Fotnotsreferens"/>
          <w:rFonts w:cs="Arial"/>
        </w:rPr>
        <w:footnoteReference w:id="1"/>
      </w:r>
      <w:r w:rsidRPr="00F77892">
        <w:rPr>
          <w:rFonts w:cs="Arial"/>
        </w:rPr>
        <w:t xml:space="preserve"> </w:t>
      </w:r>
    </w:p>
    <w:p w:rsidR="00663FF1" w:rsidRDefault="00663FF1" w:rsidP="00663FF1">
      <w:pPr>
        <w:tabs>
          <w:tab w:val="left" w:pos="851"/>
        </w:tabs>
        <w:spacing w:line="276" w:lineRule="auto"/>
        <w:rPr>
          <w:rFonts w:cs="Arial"/>
        </w:rPr>
      </w:pPr>
      <w:r>
        <w:rPr>
          <w:rFonts w:cs="Arial"/>
        </w:rPr>
        <w:t>The outline of the report is as follows:</w:t>
      </w:r>
    </w:p>
    <w:p w:rsidR="00663FF1" w:rsidRDefault="00663FF1" w:rsidP="00663FF1">
      <w:pPr>
        <w:tabs>
          <w:tab w:val="left" w:pos="851"/>
        </w:tabs>
        <w:spacing w:line="276" w:lineRule="auto"/>
        <w:ind w:left="1080" w:hanging="1080"/>
        <w:rPr>
          <w:rFonts w:cs="Arial"/>
        </w:rPr>
      </w:pPr>
      <w:r w:rsidRPr="005270DD">
        <w:rPr>
          <w:rFonts w:cs="Arial"/>
          <w:b/>
          <w:color w:val="008000"/>
        </w:rPr>
        <w:t>Section 1</w:t>
      </w:r>
      <w:r w:rsidRPr="005270DD">
        <w:rPr>
          <w:rFonts w:cs="Arial"/>
          <w:color w:val="008000"/>
        </w:rPr>
        <w:t xml:space="preserve">      </w:t>
      </w:r>
      <w:r w:rsidRPr="00C1587D">
        <w:rPr>
          <w:rFonts w:cs="Arial"/>
          <w:i/>
        </w:rPr>
        <w:t>Presents the main findings</w:t>
      </w:r>
      <w:r>
        <w:rPr>
          <w:rFonts w:cs="Arial"/>
          <w:i/>
        </w:rPr>
        <w:t xml:space="preserve"> of</w:t>
      </w:r>
      <w:r w:rsidRPr="00A56BD4">
        <w:rPr>
          <w:rFonts w:cs="Arial"/>
          <w:i/>
        </w:rPr>
        <w:t xml:space="preserve"> the report. A table showing the guidelines applied to Hammarby Sjöstad and </w:t>
      </w:r>
      <w:r>
        <w:rPr>
          <w:rFonts w:cs="Arial"/>
          <w:i/>
        </w:rPr>
        <w:t xml:space="preserve">the top lessons is provided to show the importance of the 12 Green Guidelines and the applications for other developments.  </w:t>
      </w:r>
      <w:r>
        <w:rPr>
          <w:rFonts w:cs="Arial"/>
        </w:rPr>
        <w:tab/>
      </w:r>
    </w:p>
    <w:p w:rsidR="00663FF1" w:rsidRDefault="00663FF1" w:rsidP="00663FF1">
      <w:pPr>
        <w:tabs>
          <w:tab w:val="left" w:pos="851"/>
        </w:tabs>
        <w:spacing w:line="276" w:lineRule="auto"/>
        <w:rPr>
          <w:rFonts w:cs="Arial"/>
        </w:rPr>
      </w:pPr>
      <w:r w:rsidRPr="005270DD">
        <w:rPr>
          <w:rFonts w:cs="Arial"/>
          <w:b/>
          <w:color w:val="008000"/>
        </w:rPr>
        <w:t>Section 2</w:t>
      </w:r>
      <w:r w:rsidRPr="005270DD">
        <w:rPr>
          <w:rFonts w:cs="Arial"/>
          <w:i/>
          <w:color w:val="008000"/>
        </w:rPr>
        <w:tab/>
        <w:t xml:space="preserve">     </w:t>
      </w:r>
      <w:r w:rsidRPr="006651E3">
        <w:rPr>
          <w:rFonts w:cs="Arial"/>
          <w:i/>
        </w:rPr>
        <w:t>General introduction to Hammarby Sjöstad</w:t>
      </w:r>
      <w:r>
        <w:rPr>
          <w:rFonts w:cs="Arial"/>
          <w:i/>
        </w:rPr>
        <w:t>.</w:t>
      </w:r>
    </w:p>
    <w:p w:rsidR="00663FF1" w:rsidRPr="00B7280C" w:rsidRDefault="00663FF1" w:rsidP="00663FF1">
      <w:pPr>
        <w:tabs>
          <w:tab w:val="left" w:pos="851"/>
        </w:tabs>
        <w:spacing w:line="276" w:lineRule="auto"/>
        <w:ind w:left="1110" w:hanging="1110"/>
        <w:rPr>
          <w:rFonts w:cs="Arial"/>
          <w:i/>
        </w:rPr>
      </w:pPr>
      <w:r w:rsidRPr="005270DD">
        <w:rPr>
          <w:rFonts w:cs="Arial"/>
          <w:b/>
          <w:color w:val="008000"/>
        </w:rPr>
        <w:t>Section 3</w:t>
      </w:r>
      <w:r w:rsidRPr="005270DD">
        <w:rPr>
          <w:rFonts w:cs="Arial"/>
          <w:color w:val="008000"/>
        </w:rPr>
        <w:t xml:space="preserve"> </w:t>
      </w:r>
      <w:r>
        <w:rPr>
          <w:rFonts w:cs="Arial"/>
        </w:rPr>
        <w:tab/>
      </w:r>
      <w:r w:rsidRPr="006651E3">
        <w:rPr>
          <w:rFonts w:cs="Arial"/>
          <w:i/>
        </w:rPr>
        <w:t xml:space="preserve">The foundational elements that acted as the basis of </w:t>
      </w:r>
      <w:proofErr w:type="spellStart"/>
      <w:r w:rsidRPr="006651E3">
        <w:rPr>
          <w:rFonts w:cs="Arial"/>
          <w:i/>
        </w:rPr>
        <w:t>Ham</w:t>
      </w:r>
      <w:r>
        <w:rPr>
          <w:rFonts w:cs="Arial"/>
          <w:i/>
        </w:rPr>
        <w:t>marby’s</w:t>
      </w:r>
      <w:proofErr w:type="spellEnd"/>
      <w:r>
        <w:rPr>
          <w:rFonts w:cs="Arial"/>
          <w:i/>
        </w:rPr>
        <w:t xml:space="preserve"> development, including the goals, </w:t>
      </w:r>
      <w:r w:rsidRPr="006651E3">
        <w:rPr>
          <w:rFonts w:cs="Arial"/>
          <w:i/>
        </w:rPr>
        <w:t>mo</w:t>
      </w:r>
      <w:r>
        <w:rPr>
          <w:rFonts w:cs="Arial"/>
          <w:i/>
        </w:rPr>
        <w:t xml:space="preserve">nitoring, and Hammarby Model. </w:t>
      </w:r>
    </w:p>
    <w:p w:rsidR="00663FF1" w:rsidRDefault="00663FF1" w:rsidP="00663FF1">
      <w:pPr>
        <w:spacing w:line="276" w:lineRule="auto"/>
        <w:ind w:left="1110" w:hanging="1110"/>
      </w:pPr>
      <w:r w:rsidRPr="005270DD">
        <w:rPr>
          <w:b/>
          <w:color w:val="008000"/>
        </w:rPr>
        <w:t>Section 4</w:t>
      </w:r>
      <w:r w:rsidRPr="005270DD">
        <w:rPr>
          <w:color w:val="008000"/>
        </w:rPr>
        <w:t xml:space="preserve"> </w:t>
      </w:r>
      <w:r>
        <w:tab/>
      </w:r>
      <w:r>
        <w:rPr>
          <w:i/>
        </w:rPr>
        <w:t xml:space="preserve">The detailed planning process from master planning to property development, including the role of the national, regional, and local governments; the key organizations involved in </w:t>
      </w:r>
      <w:proofErr w:type="spellStart"/>
      <w:r>
        <w:rPr>
          <w:i/>
        </w:rPr>
        <w:t>Hammarby’s</w:t>
      </w:r>
      <w:proofErr w:type="spellEnd"/>
      <w:r>
        <w:rPr>
          <w:i/>
        </w:rPr>
        <w:t xml:space="preserve"> planning process; and the guidelines used in development. </w:t>
      </w:r>
    </w:p>
    <w:p w:rsidR="00663FF1" w:rsidRDefault="00663FF1" w:rsidP="00663FF1">
      <w:pPr>
        <w:tabs>
          <w:tab w:val="left" w:pos="851"/>
        </w:tabs>
        <w:spacing w:line="276" w:lineRule="auto"/>
        <w:rPr>
          <w:rFonts w:cs="Arial"/>
        </w:rPr>
      </w:pPr>
    </w:p>
    <w:p w:rsidR="00663FF1" w:rsidRDefault="00663FF1" w:rsidP="00663FF1">
      <w:pPr>
        <w:tabs>
          <w:tab w:val="left" w:pos="851"/>
        </w:tabs>
        <w:spacing w:line="276" w:lineRule="auto"/>
        <w:ind w:left="1080" w:hanging="1080"/>
        <w:rPr>
          <w:rFonts w:cs="Arial"/>
        </w:rPr>
      </w:pPr>
      <w:r w:rsidRPr="005270DD">
        <w:rPr>
          <w:rFonts w:cs="Arial"/>
          <w:b/>
          <w:color w:val="008000"/>
        </w:rPr>
        <w:t>Section 5</w:t>
      </w:r>
      <w:r w:rsidRPr="005270DD">
        <w:rPr>
          <w:rFonts w:cs="Arial"/>
          <w:b/>
          <w:color w:val="008000"/>
        </w:rPr>
        <w:tab/>
      </w:r>
      <w:r w:rsidRPr="005270DD">
        <w:rPr>
          <w:rFonts w:cs="Arial"/>
          <w:color w:val="008000"/>
        </w:rPr>
        <w:t xml:space="preserve">     </w:t>
      </w:r>
      <w:r>
        <w:rPr>
          <w:rFonts w:cs="Arial"/>
          <w:i/>
        </w:rPr>
        <w:t xml:space="preserve">The key financing models that Hammarby used in its development process. </w:t>
      </w:r>
    </w:p>
    <w:p w:rsidR="00663FF1" w:rsidRDefault="00663FF1" w:rsidP="00663FF1">
      <w:pPr>
        <w:tabs>
          <w:tab w:val="left" w:pos="851"/>
        </w:tabs>
        <w:spacing w:line="276" w:lineRule="auto"/>
        <w:rPr>
          <w:rFonts w:cs="Arial"/>
        </w:rPr>
      </w:pPr>
    </w:p>
    <w:p w:rsidR="00663FF1" w:rsidRDefault="00663FF1" w:rsidP="00663FF1">
      <w:pPr>
        <w:tabs>
          <w:tab w:val="left" w:pos="851"/>
        </w:tabs>
        <w:spacing w:line="276" w:lineRule="auto"/>
        <w:ind w:left="1080" w:hanging="1080"/>
        <w:rPr>
          <w:rFonts w:cs="Arial"/>
        </w:rPr>
      </w:pPr>
      <w:r w:rsidRPr="005270DD">
        <w:rPr>
          <w:rFonts w:cs="Arial"/>
          <w:b/>
          <w:color w:val="008000"/>
        </w:rPr>
        <w:t>Section 6</w:t>
      </w:r>
      <w:r w:rsidRPr="005270DD">
        <w:rPr>
          <w:rFonts w:cs="Arial"/>
          <w:b/>
          <w:color w:val="008000"/>
        </w:rPr>
        <w:tab/>
      </w:r>
      <w:r w:rsidRPr="005270DD">
        <w:rPr>
          <w:rFonts w:cs="Arial"/>
          <w:color w:val="008000"/>
        </w:rPr>
        <w:t xml:space="preserve">     </w:t>
      </w:r>
      <w:r>
        <w:rPr>
          <w:rFonts w:cs="Arial"/>
          <w:i/>
        </w:rPr>
        <w:t xml:space="preserve">Each Key Achievement (based on the 12 Green Guidelines) is presented in detail, including soil remediation, urban form, transportation, waste, water, energy, and green buildings. </w:t>
      </w:r>
    </w:p>
    <w:p w:rsidR="00663FF1" w:rsidRPr="005270DD" w:rsidRDefault="00663FF1" w:rsidP="00663FF1">
      <w:pPr>
        <w:tabs>
          <w:tab w:val="left" w:pos="851"/>
        </w:tabs>
        <w:spacing w:line="276" w:lineRule="auto"/>
        <w:rPr>
          <w:rFonts w:cs="Arial"/>
          <w:b/>
          <w:color w:val="008000"/>
        </w:rPr>
      </w:pPr>
    </w:p>
    <w:p w:rsidR="00663FF1" w:rsidRPr="005270DD" w:rsidRDefault="00663FF1" w:rsidP="00663FF1">
      <w:pPr>
        <w:tabs>
          <w:tab w:val="left" w:pos="851"/>
        </w:tabs>
        <w:spacing w:line="276" w:lineRule="auto"/>
        <w:rPr>
          <w:rFonts w:cs="Arial"/>
          <w:i/>
        </w:rPr>
      </w:pPr>
      <w:r w:rsidRPr="005270DD">
        <w:rPr>
          <w:rFonts w:cs="Arial"/>
          <w:b/>
          <w:color w:val="008000"/>
        </w:rPr>
        <w:t>Section 7</w:t>
      </w:r>
      <w:r w:rsidRPr="005270DD">
        <w:rPr>
          <w:rFonts w:cs="Arial"/>
          <w:b/>
          <w:color w:val="008000"/>
        </w:rPr>
        <w:tab/>
      </w:r>
      <w:r w:rsidRPr="005270DD">
        <w:rPr>
          <w:rFonts w:cs="Arial"/>
          <w:color w:val="008000"/>
        </w:rPr>
        <w:t xml:space="preserve">     </w:t>
      </w:r>
      <w:r>
        <w:rPr>
          <w:rFonts w:cs="Arial"/>
          <w:i/>
        </w:rPr>
        <w:t xml:space="preserve">Further extrapolates on the major lessons and also discusses challenges. </w:t>
      </w:r>
    </w:p>
    <w:p w:rsidR="00663FF1" w:rsidRPr="00F05AF7" w:rsidRDefault="00663FF1" w:rsidP="00663FF1">
      <w:pPr>
        <w:pStyle w:val="Rubrik2"/>
      </w:pPr>
      <w:bookmarkStart w:id="2" w:name="_Toc433726367"/>
      <w:r>
        <w:t>1.1 Overview of Hammarby and the 12 Green Guidelines</w:t>
      </w:r>
      <w:bookmarkEnd w:id="2"/>
      <w:r>
        <w:t xml:space="preserve"> </w:t>
      </w:r>
    </w:p>
    <w:p w:rsidR="00663FF1" w:rsidRDefault="00663FF1" w:rsidP="00663FF1">
      <w:pPr>
        <w:spacing w:line="276" w:lineRule="auto"/>
        <w:rPr>
          <w:rFonts w:cs="Arial"/>
        </w:rPr>
      </w:pPr>
      <w:r w:rsidRPr="00F77892">
        <w:rPr>
          <w:rFonts w:cs="Arial"/>
        </w:rPr>
        <w:t>Hammarby Sjöstad was designed as a comprehensive infrastructure project. The heating, transport</w:t>
      </w:r>
      <w:r>
        <w:rPr>
          <w:rFonts w:cs="Arial"/>
        </w:rPr>
        <w:t>,</w:t>
      </w:r>
      <w:r w:rsidRPr="00F77892">
        <w:rPr>
          <w:rFonts w:cs="Arial"/>
        </w:rPr>
        <w:t xml:space="preserve"> and waste collection systems were intended to work in </w:t>
      </w:r>
      <w:r>
        <w:rPr>
          <w:rFonts w:cs="Arial"/>
        </w:rPr>
        <w:t>conjunction</w:t>
      </w:r>
      <w:r w:rsidRPr="00F77892">
        <w:rPr>
          <w:rFonts w:cs="Arial"/>
        </w:rPr>
        <w:t xml:space="preserve"> to reduce the</w:t>
      </w:r>
      <w:r>
        <w:rPr>
          <w:rFonts w:cs="Arial"/>
        </w:rPr>
        <w:t xml:space="preserve">ir </w:t>
      </w:r>
      <w:proofErr w:type="gramStart"/>
      <w:r>
        <w:rPr>
          <w:rFonts w:cs="Arial"/>
        </w:rPr>
        <w:t>long term</w:t>
      </w:r>
      <w:proofErr w:type="gramEnd"/>
      <w:r>
        <w:rPr>
          <w:rFonts w:cs="Arial"/>
        </w:rPr>
        <w:t xml:space="preserve"> usage of</w:t>
      </w:r>
      <w:r w:rsidRPr="00F77892">
        <w:rPr>
          <w:rFonts w:cs="Arial"/>
        </w:rPr>
        <w:t xml:space="preserve"> energy and resources. The project meets high environmental standards in comparison with </w:t>
      </w:r>
      <w:r>
        <w:rPr>
          <w:rFonts w:cs="Arial"/>
        </w:rPr>
        <w:t>similar developments internationally.</w:t>
      </w:r>
    </w:p>
    <w:p w:rsidR="00663FF1" w:rsidRDefault="00663FF1" w:rsidP="00663FF1">
      <w:pPr>
        <w:spacing w:line="276" w:lineRule="auto"/>
        <w:rPr>
          <w:rFonts w:cs="Arial"/>
        </w:rPr>
      </w:pPr>
      <w:r w:rsidRPr="00F77892">
        <w:rPr>
          <w:rFonts w:cs="Arial"/>
        </w:rPr>
        <w:t>Hammarby Sjöstad demonstrates how high environmental targets can be met through the use of a well-developed master</w:t>
      </w:r>
      <w:r>
        <w:rPr>
          <w:rFonts w:cs="Arial"/>
        </w:rPr>
        <w:t xml:space="preserve"> </w:t>
      </w:r>
      <w:r w:rsidRPr="00F77892">
        <w:rPr>
          <w:rFonts w:cs="Arial"/>
        </w:rPr>
        <w:t xml:space="preserve">plan, </w:t>
      </w:r>
      <w:r>
        <w:rPr>
          <w:rFonts w:cs="Arial"/>
        </w:rPr>
        <w:t>high levels of initial</w:t>
      </w:r>
      <w:r w:rsidRPr="00F77892">
        <w:rPr>
          <w:rFonts w:cs="Arial"/>
        </w:rPr>
        <w:t xml:space="preserve"> investment in infrastructure, </w:t>
      </w:r>
      <w:r>
        <w:rPr>
          <w:rFonts w:cs="Arial"/>
        </w:rPr>
        <w:t>and a focus on</w:t>
      </w:r>
      <w:r w:rsidRPr="00F77892">
        <w:rPr>
          <w:rFonts w:cs="Arial"/>
        </w:rPr>
        <w:t xml:space="preserve"> environmentally-friendly housing and</w:t>
      </w:r>
      <w:r>
        <w:rPr>
          <w:rFonts w:cs="Arial"/>
        </w:rPr>
        <w:t xml:space="preserve"> a</w:t>
      </w:r>
      <w:r w:rsidRPr="00F77892">
        <w:rPr>
          <w:rFonts w:cs="Arial"/>
        </w:rPr>
        <w:t xml:space="preserve"> </w:t>
      </w:r>
      <w:proofErr w:type="gramStart"/>
      <w:r>
        <w:rPr>
          <w:rFonts w:cs="Arial"/>
        </w:rPr>
        <w:t>high quality</w:t>
      </w:r>
      <w:proofErr w:type="gramEnd"/>
      <w:r>
        <w:rPr>
          <w:rFonts w:cs="Arial"/>
        </w:rPr>
        <w:t xml:space="preserve"> living environment.</w:t>
      </w:r>
    </w:p>
    <w:p w:rsidR="00663FF1" w:rsidRPr="00F77892" w:rsidRDefault="00663FF1" w:rsidP="00663FF1">
      <w:pPr>
        <w:tabs>
          <w:tab w:val="left" w:pos="851"/>
        </w:tabs>
        <w:spacing w:line="276" w:lineRule="auto"/>
        <w:rPr>
          <w:rFonts w:cs="Arial"/>
          <w:b/>
        </w:rPr>
      </w:pPr>
      <w:r w:rsidRPr="001B0B5C">
        <w:rPr>
          <w:rFonts w:cs="Arial"/>
        </w:rPr>
        <w:t>Hammarby</w:t>
      </w:r>
      <w:r>
        <w:rPr>
          <w:rFonts w:cs="Arial"/>
        </w:rPr>
        <w:t xml:space="preserve"> Sjöstad is an economically, environmentally, and socially successful district: </w:t>
      </w:r>
    </w:p>
    <w:p w:rsidR="00663FF1" w:rsidRPr="005270DD" w:rsidRDefault="00663FF1" w:rsidP="00663FF1">
      <w:pPr>
        <w:pStyle w:val="Liststycke"/>
      </w:pPr>
      <w:r w:rsidRPr="005270DD">
        <w:t xml:space="preserve">The district </w:t>
      </w:r>
      <w:proofErr w:type="spellStart"/>
      <w:r w:rsidRPr="005270DD">
        <w:t>fulfills</w:t>
      </w:r>
      <w:proofErr w:type="spellEnd"/>
      <w:r w:rsidRPr="005270DD">
        <w:t xml:space="preserve"> the 12 Green Guidelines: The 12 Green Guidelines were chosen to comprehensively evaluate an urban development from a high level. Hammarby is a great model for the value of the 12 Green Guidelines in defining a sustainable urban development. </w:t>
      </w:r>
    </w:p>
    <w:p w:rsidR="00663FF1" w:rsidRPr="005270DD" w:rsidRDefault="00663FF1" w:rsidP="00663FF1">
      <w:pPr>
        <w:pStyle w:val="Liststycke"/>
      </w:pPr>
      <w:r w:rsidRPr="005270DD">
        <w:t xml:space="preserve">The district is </w:t>
      </w:r>
      <w:proofErr w:type="spellStart"/>
      <w:r w:rsidRPr="005270DD">
        <w:t>livable</w:t>
      </w:r>
      <w:proofErr w:type="spellEnd"/>
      <w:r w:rsidRPr="005270DD">
        <w:t xml:space="preserve"> and attractive: A mix of housing units, parks and services are located within the Hammarby boundaries. It is easy to access the area from different parts of Stockholm. Located adjacent to the inner City of Stockholm, the area has become highly popular and is inhabited by a wide range of people.</w:t>
      </w:r>
    </w:p>
    <w:p w:rsidR="00663FF1" w:rsidRPr="005270DD" w:rsidRDefault="00663FF1" w:rsidP="00663FF1">
      <w:pPr>
        <w:pStyle w:val="Liststycke"/>
      </w:pPr>
      <w:r w:rsidRPr="005270DD">
        <w:t>The district is economically successful: Property and tax-assessment values have increased. The tax-assessment values have increased more in Hammarby Sjöstad compared to the City of Stockholm as a whole. Even though construction costs were approximately five percent higher than normal, the property value increased by 25 percent.</w:t>
      </w:r>
    </w:p>
    <w:p w:rsidR="00663FF1" w:rsidRPr="005270DD" w:rsidRDefault="00663FF1" w:rsidP="00663FF1">
      <w:pPr>
        <w:pStyle w:val="Liststycke"/>
      </w:pPr>
      <w:r w:rsidRPr="005270DD">
        <w:t>The district attracted private investment: Developers invested approximately 83 percent of the total expenditure of the project. The City of Stockholm contributed 17 percent. Funding from LIP Stockholm supported the development with 33 million Euros.</w:t>
      </w:r>
    </w:p>
    <w:p w:rsidR="00663FF1" w:rsidRPr="005270DD" w:rsidRDefault="00663FF1" w:rsidP="00663FF1">
      <w:pPr>
        <w:tabs>
          <w:tab w:val="left" w:pos="851"/>
        </w:tabs>
        <w:spacing w:line="276" w:lineRule="auto"/>
        <w:ind w:left="450" w:hanging="360"/>
        <w:rPr>
          <w:rFonts w:cs="Arial"/>
          <w:b/>
        </w:rPr>
      </w:pPr>
    </w:p>
    <w:p w:rsidR="00663FF1" w:rsidRDefault="00663FF1" w:rsidP="00663FF1">
      <w:pPr>
        <w:rPr>
          <w:i/>
        </w:rPr>
      </w:pPr>
      <w:r>
        <w:rPr>
          <w:i/>
        </w:rPr>
        <w:br w:type="page"/>
      </w:r>
    </w:p>
    <w:p w:rsidR="00663FF1" w:rsidRPr="005E59CC" w:rsidRDefault="00663FF1" w:rsidP="00663FF1">
      <w:pPr>
        <w:pStyle w:val="Underrubrik"/>
      </w:pPr>
      <w:r w:rsidRPr="005E59CC">
        <w:lastRenderedPageBreak/>
        <w:t xml:space="preserve">Table </w:t>
      </w:r>
      <w:fldSimple w:instr=" SEQ Table \* ARABIC ">
        <w:r>
          <w:rPr>
            <w:noProof/>
          </w:rPr>
          <w:t>1</w:t>
        </w:r>
      </w:fldSimple>
      <w:r w:rsidRPr="005E59CC">
        <w:t>.</w:t>
      </w:r>
      <w:r>
        <w:t xml:space="preserve"> </w:t>
      </w:r>
      <w:r w:rsidRPr="001B0B5C">
        <w:t xml:space="preserve">12 Green Guidelines </w:t>
      </w:r>
      <w:r w:rsidRPr="00F77892">
        <w:t>applied to</w:t>
      </w:r>
      <w:r>
        <w:t xml:space="preserve"> Hammarby Sjöstad</w:t>
      </w:r>
      <w:r>
        <w:rPr>
          <w:rStyle w:val="Fotnotsreferens"/>
          <w:rFonts w:cs="Arial"/>
          <w:i/>
        </w:rPr>
        <w:footnoteReference w:id="2"/>
      </w:r>
    </w:p>
    <w:tbl>
      <w:tblPr>
        <w:tblStyle w:val="Tabellrutntljust"/>
        <w:tblW w:w="0" w:type="auto"/>
        <w:tblLook w:val="04A0" w:firstRow="1" w:lastRow="0" w:firstColumn="1" w:lastColumn="0" w:noHBand="0" w:noVBand="1"/>
      </w:tblPr>
      <w:tblGrid>
        <w:gridCol w:w="1435"/>
        <w:gridCol w:w="7582"/>
      </w:tblGrid>
      <w:tr w:rsidR="00663FF1" w:rsidRPr="005C63A9" w:rsidTr="006430CE">
        <w:tc>
          <w:tcPr>
            <w:tcW w:w="1435" w:type="dxa"/>
          </w:tcPr>
          <w:p w:rsidR="00663FF1" w:rsidRPr="005C63A9" w:rsidRDefault="00663FF1" w:rsidP="006430CE">
            <w:pPr>
              <w:tabs>
                <w:tab w:val="left" w:pos="851"/>
              </w:tabs>
              <w:spacing w:line="276" w:lineRule="auto"/>
              <w:rPr>
                <w:rFonts w:cs="Arial"/>
                <w:b/>
              </w:rPr>
            </w:pPr>
            <w:r w:rsidRPr="005C63A9">
              <w:rPr>
                <w:rFonts w:cs="Arial"/>
                <w:b/>
              </w:rPr>
              <w:t>Urban Growth Boundary</w:t>
            </w:r>
          </w:p>
        </w:tc>
        <w:tc>
          <w:tcPr>
            <w:tcW w:w="7582" w:type="dxa"/>
          </w:tcPr>
          <w:p w:rsidR="00663FF1" w:rsidRPr="005C63A9" w:rsidRDefault="00663FF1" w:rsidP="006430CE">
            <w:pPr>
              <w:tabs>
                <w:tab w:val="left" w:pos="851"/>
              </w:tabs>
              <w:spacing w:line="276" w:lineRule="auto"/>
              <w:rPr>
                <w:rFonts w:cs="Arial"/>
                <w:b/>
              </w:rPr>
            </w:pPr>
            <w:r>
              <w:rPr>
                <w:rFonts w:cs="MercuryTextG1-Roman"/>
              </w:rPr>
              <w:t>Hammarby was developed</w:t>
            </w:r>
            <w:r w:rsidRPr="005C63A9">
              <w:rPr>
                <w:rFonts w:cs="MercuryTextG1-Roman"/>
              </w:rPr>
              <w:t xml:space="preserve"> on an old brownfield site.</w:t>
            </w:r>
            <w:r>
              <w:rPr>
                <w:rFonts w:cs="MercuryTextG1-Roman"/>
              </w:rPr>
              <w:t xml:space="preserve">  All contaminated soil was sanitized prior to development. 100% of the developed land is remediated and adapted for the district. Hammarby is located adjacent to the inner C</w:t>
            </w:r>
            <w:r w:rsidRPr="005C63A9">
              <w:rPr>
                <w:rFonts w:cs="MercuryTextG1-Roman"/>
              </w:rPr>
              <w:t>ity of Stockholm, approximately 3 km</w:t>
            </w:r>
            <w:r>
              <w:rPr>
                <w:rFonts w:cs="MercuryTextG1-Roman"/>
              </w:rPr>
              <w:t xml:space="preserve"> from the city center</w:t>
            </w:r>
            <w:r w:rsidRPr="005C63A9">
              <w:rPr>
                <w:rFonts w:cs="MercuryTextG1-Roman"/>
              </w:rPr>
              <w:t xml:space="preserve">. </w:t>
            </w:r>
          </w:p>
        </w:tc>
      </w:tr>
      <w:tr w:rsidR="00663FF1" w:rsidRPr="005C63A9" w:rsidTr="006430CE">
        <w:trPr>
          <w:trHeight w:val="863"/>
        </w:trPr>
        <w:tc>
          <w:tcPr>
            <w:tcW w:w="1435" w:type="dxa"/>
          </w:tcPr>
          <w:p w:rsidR="00663FF1" w:rsidRPr="005C63A9" w:rsidRDefault="00663FF1" w:rsidP="006430CE">
            <w:pPr>
              <w:tabs>
                <w:tab w:val="left" w:pos="851"/>
              </w:tabs>
              <w:spacing w:line="276" w:lineRule="auto"/>
              <w:rPr>
                <w:rFonts w:cs="Arial"/>
                <w:b/>
              </w:rPr>
            </w:pPr>
            <w:r w:rsidRPr="005C63A9">
              <w:rPr>
                <w:rFonts w:cs="Arial"/>
                <w:b/>
              </w:rPr>
              <w:t>Transit-Oriented Development</w:t>
            </w:r>
          </w:p>
        </w:tc>
        <w:tc>
          <w:tcPr>
            <w:tcW w:w="7582" w:type="dxa"/>
          </w:tcPr>
          <w:p w:rsidR="00663FF1" w:rsidRPr="005C63A9" w:rsidRDefault="00663FF1" w:rsidP="006430CE">
            <w:pPr>
              <w:tabs>
                <w:tab w:val="left" w:pos="851"/>
              </w:tabs>
              <w:spacing w:line="276" w:lineRule="auto"/>
              <w:rPr>
                <w:rFonts w:cs="Arial"/>
                <w:b/>
              </w:rPr>
            </w:pPr>
            <w:r>
              <w:rPr>
                <w:rFonts w:cs="Arial"/>
              </w:rPr>
              <w:t xml:space="preserve">The </w:t>
            </w:r>
            <w:r w:rsidRPr="005C63A9">
              <w:rPr>
                <w:rFonts w:cs="Arial"/>
              </w:rPr>
              <w:t>F</w:t>
            </w:r>
            <w:r>
              <w:rPr>
                <w:rFonts w:cs="Arial"/>
              </w:rPr>
              <w:t xml:space="preserve">loor </w:t>
            </w:r>
            <w:r w:rsidRPr="005C63A9">
              <w:rPr>
                <w:rFonts w:cs="Arial"/>
              </w:rPr>
              <w:t>A</w:t>
            </w:r>
            <w:r>
              <w:rPr>
                <w:rFonts w:cs="Arial"/>
              </w:rPr>
              <w:t xml:space="preserve">rea </w:t>
            </w:r>
            <w:r w:rsidRPr="005C63A9">
              <w:rPr>
                <w:rFonts w:cs="Arial"/>
              </w:rPr>
              <w:t>R</w:t>
            </w:r>
            <w:r>
              <w:rPr>
                <w:rFonts w:cs="Arial"/>
              </w:rPr>
              <w:t>atio (FAR)</w:t>
            </w:r>
            <w:r w:rsidRPr="005C63A9">
              <w:rPr>
                <w:rFonts w:cs="Arial"/>
              </w:rPr>
              <w:t xml:space="preserve"> is higher close to public transit stations and public transit stations are located centrally in commercial and business districts. The FAR ranges from 1.2 to 2.3 </w:t>
            </w:r>
            <w:r>
              <w:rPr>
                <w:rFonts w:cs="Arial"/>
              </w:rPr>
              <w:t xml:space="preserve">in the entire district. </w:t>
            </w:r>
            <w:r w:rsidRPr="005C63A9">
              <w:rPr>
                <w:rFonts w:cs="Arial"/>
              </w:rPr>
              <w:t xml:space="preserve"> </w:t>
            </w:r>
          </w:p>
        </w:tc>
      </w:tr>
      <w:tr w:rsidR="00663FF1" w:rsidRPr="005C63A9" w:rsidTr="006430CE">
        <w:tc>
          <w:tcPr>
            <w:tcW w:w="1435" w:type="dxa"/>
          </w:tcPr>
          <w:p w:rsidR="00663FF1" w:rsidRPr="005C63A9" w:rsidRDefault="00663FF1" w:rsidP="006430CE">
            <w:pPr>
              <w:tabs>
                <w:tab w:val="left" w:pos="851"/>
              </w:tabs>
              <w:spacing w:line="276" w:lineRule="auto"/>
              <w:rPr>
                <w:rFonts w:cs="Arial"/>
                <w:b/>
              </w:rPr>
            </w:pPr>
            <w:r w:rsidRPr="005C63A9">
              <w:rPr>
                <w:rFonts w:cs="Arial"/>
                <w:b/>
              </w:rPr>
              <w:t>Mixed-use</w:t>
            </w:r>
          </w:p>
        </w:tc>
        <w:tc>
          <w:tcPr>
            <w:tcW w:w="7582" w:type="dxa"/>
          </w:tcPr>
          <w:p w:rsidR="00663FF1" w:rsidRPr="005C63A9" w:rsidRDefault="00663FF1" w:rsidP="006430CE">
            <w:pPr>
              <w:tabs>
                <w:tab w:val="left" w:pos="851"/>
              </w:tabs>
              <w:spacing w:line="276" w:lineRule="auto"/>
              <w:rPr>
                <w:rFonts w:cs="Arial"/>
                <w:b/>
              </w:rPr>
            </w:pPr>
            <w:r>
              <w:rPr>
                <w:rFonts w:cs="Arial"/>
              </w:rPr>
              <w:t xml:space="preserve">The job-housing ratio is about 0.53. Currently, there are </w:t>
            </w:r>
            <w:r w:rsidRPr="00C36D4D">
              <w:rPr>
                <w:rFonts w:cs="Arial"/>
              </w:rPr>
              <w:t xml:space="preserve">20,400 </w:t>
            </w:r>
            <w:r w:rsidRPr="005C63A9">
              <w:rPr>
                <w:rFonts w:cs="Arial"/>
              </w:rPr>
              <w:t xml:space="preserve">residents and 11,000 jobs. </w:t>
            </w:r>
            <w:r>
              <w:rPr>
                <w:rFonts w:cs="Arial"/>
              </w:rPr>
              <w:t>Many of the buildings also have</w:t>
            </w:r>
            <w:r w:rsidRPr="005C63A9">
              <w:rPr>
                <w:rFonts w:cs="Arial"/>
              </w:rPr>
              <w:t xml:space="preserve"> commercial space on</w:t>
            </w:r>
            <w:r>
              <w:rPr>
                <w:rFonts w:cs="Arial"/>
              </w:rPr>
              <w:t xml:space="preserve"> the</w:t>
            </w:r>
            <w:r w:rsidRPr="005C63A9">
              <w:rPr>
                <w:rFonts w:cs="Arial"/>
              </w:rPr>
              <w:t xml:space="preserve"> bottom floors and housing on top floors.</w:t>
            </w:r>
          </w:p>
        </w:tc>
      </w:tr>
      <w:tr w:rsidR="00663FF1" w:rsidRPr="005C63A9" w:rsidTr="006430CE">
        <w:tc>
          <w:tcPr>
            <w:tcW w:w="1435" w:type="dxa"/>
          </w:tcPr>
          <w:p w:rsidR="00663FF1" w:rsidRPr="005C63A9" w:rsidRDefault="00663FF1" w:rsidP="006430CE">
            <w:pPr>
              <w:tabs>
                <w:tab w:val="left" w:pos="851"/>
              </w:tabs>
              <w:spacing w:line="276" w:lineRule="auto"/>
              <w:rPr>
                <w:rFonts w:cs="Arial"/>
                <w:b/>
              </w:rPr>
            </w:pPr>
            <w:r w:rsidRPr="005C63A9">
              <w:rPr>
                <w:rFonts w:cs="Arial"/>
                <w:b/>
              </w:rPr>
              <w:t>Small Blocks</w:t>
            </w:r>
          </w:p>
        </w:tc>
        <w:tc>
          <w:tcPr>
            <w:tcW w:w="7582" w:type="dxa"/>
          </w:tcPr>
          <w:p w:rsidR="00663FF1" w:rsidRPr="005C63A9" w:rsidRDefault="00663FF1" w:rsidP="006430CE">
            <w:pPr>
              <w:tabs>
                <w:tab w:val="left" w:pos="851"/>
              </w:tabs>
              <w:spacing w:line="276" w:lineRule="auto"/>
              <w:rPr>
                <w:rFonts w:cs="Arial"/>
                <w:b/>
              </w:rPr>
            </w:pPr>
            <w:r w:rsidRPr="005C63A9">
              <w:rPr>
                <w:rFonts w:cs="Arial"/>
              </w:rPr>
              <w:t>Typical block sizes are 50 x 70 or 70 x 100 meters. The general building layout consists of blocks built around an inner</w:t>
            </w:r>
            <w:r>
              <w:rPr>
                <w:rFonts w:cs="Arial"/>
              </w:rPr>
              <w:t xml:space="preserve"> courtyard. </w:t>
            </w:r>
          </w:p>
        </w:tc>
      </w:tr>
      <w:tr w:rsidR="00663FF1" w:rsidRPr="005C63A9" w:rsidTr="006430CE">
        <w:tc>
          <w:tcPr>
            <w:tcW w:w="1435" w:type="dxa"/>
          </w:tcPr>
          <w:p w:rsidR="00663FF1" w:rsidRPr="005C63A9" w:rsidRDefault="00663FF1" w:rsidP="006430CE">
            <w:pPr>
              <w:tabs>
                <w:tab w:val="left" w:pos="851"/>
              </w:tabs>
              <w:spacing w:line="276" w:lineRule="auto"/>
              <w:rPr>
                <w:rFonts w:cs="Arial"/>
                <w:b/>
              </w:rPr>
            </w:pPr>
            <w:r w:rsidRPr="005C63A9">
              <w:rPr>
                <w:rFonts w:cs="Arial"/>
                <w:b/>
              </w:rPr>
              <w:t>Public Green Space</w:t>
            </w:r>
          </w:p>
        </w:tc>
        <w:tc>
          <w:tcPr>
            <w:tcW w:w="7582" w:type="dxa"/>
          </w:tcPr>
          <w:p w:rsidR="00663FF1" w:rsidRPr="005C63A9" w:rsidRDefault="00663FF1" w:rsidP="006430CE">
            <w:pPr>
              <w:tabs>
                <w:tab w:val="left" w:pos="851"/>
              </w:tabs>
              <w:spacing w:line="276" w:lineRule="auto"/>
              <w:rPr>
                <w:rFonts w:cs="Arial"/>
                <w:b/>
              </w:rPr>
            </w:pPr>
            <w:r w:rsidRPr="005C63A9">
              <w:rPr>
                <w:rFonts w:eastAsia="MetaPlusBook-Roman" w:cs="Arial"/>
              </w:rPr>
              <w:t>A network of varied parks, green spaces, quays, plazas</w:t>
            </w:r>
            <w:r>
              <w:rPr>
                <w:rFonts w:eastAsia="MetaPlusBook-Roman" w:cs="Arial"/>
              </w:rPr>
              <w:t>,</w:t>
            </w:r>
            <w:r w:rsidRPr="005C63A9">
              <w:rPr>
                <w:rFonts w:eastAsia="MetaPlusBook-Roman" w:cs="Arial"/>
              </w:rPr>
              <w:t xml:space="preserve"> and walkways runs through the district providing space for outdoor activities.</w:t>
            </w:r>
            <w:r>
              <w:rPr>
                <w:rFonts w:eastAsia="MetaPlusBook-Roman" w:cs="Arial"/>
              </w:rPr>
              <w:t xml:space="preserve"> The amount of public green space is about 19 percent of the total area. </w:t>
            </w:r>
          </w:p>
        </w:tc>
      </w:tr>
      <w:tr w:rsidR="00663FF1" w:rsidRPr="00F61300" w:rsidTr="006430CE">
        <w:tc>
          <w:tcPr>
            <w:tcW w:w="1435" w:type="dxa"/>
          </w:tcPr>
          <w:p w:rsidR="00663FF1" w:rsidRPr="005C63A9" w:rsidRDefault="00663FF1" w:rsidP="006430CE">
            <w:pPr>
              <w:tabs>
                <w:tab w:val="left" w:pos="851"/>
              </w:tabs>
              <w:spacing w:line="276" w:lineRule="auto"/>
              <w:rPr>
                <w:rFonts w:cs="Arial"/>
                <w:b/>
              </w:rPr>
            </w:pPr>
            <w:r w:rsidRPr="005C63A9">
              <w:rPr>
                <w:rFonts w:cs="Arial"/>
                <w:b/>
              </w:rPr>
              <w:t>Non-motorized Transit</w:t>
            </w:r>
          </w:p>
        </w:tc>
        <w:tc>
          <w:tcPr>
            <w:tcW w:w="7582" w:type="dxa"/>
          </w:tcPr>
          <w:p w:rsidR="00663FF1" w:rsidRPr="00F61300" w:rsidRDefault="00663FF1" w:rsidP="006430CE">
            <w:pPr>
              <w:spacing w:line="276" w:lineRule="auto"/>
              <w:rPr>
                <w:rFonts w:cs="Arial"/>
              </w:rPr>
            </w:pPr>
            <w:r w:rsidRPr="00F61300">
              <w:rPr>
                <w:rFonts w:cs="Arial"/>
              </w:rPr>
              <w:t>The density of walking paths is about 25.8 km/km², the density of biking paths is about 10.5 km/km</w:t>
            </w:r>
            <w:r w:rsidRPr="006B67AD">
              <w:rPr>
                <w:rFonts w:cs="Arial"/>
                <w:vertAlign w:val="superscript"/>
              </w:rPr>
              <w:t>2</w:t>
            </w:r>
            <w:r w:rsidRPr="00F61300">
              <w:rPr>
                <w:rFonts w:cs="Arial"/>
              </w:rPr>
              <w:t>. There are special paths for biking</w:t>
            </w:r>
            <w:r w:rsidRPr="00F61300">
              <w:rPr>
                <w:rFonts w:cs="Arial"/>
                <w:b/>
              </w:rPr>
              <w:t xml:space="preserve"> </w:t>
            </w:r>
            <w:r w:rsidRPr="00F61300">
              <w:rPr>
                <w:rFonts w:cs="Calibri-Light"/>
              </w:rPr>
              <w:t>linked to Stockholm’s public bike share program</w:t>
            </w:r>
            <w:r w:rsidRPr="00F61300">
              <w:t xml:space="preserve"> </w:t>
            </w:r>
            <w:r w:rsidRPr="00F61300">
              <w:rPr>
                <w:rFonts w:cs="Arial"/>
              </w:rPr>
              <w:t xml:space="preserve">Total distance of walking paths: 45 km; </w:t>
            </w:r>
            <w:r>
              <w:rPr>
                <w:rFonts w:cs="Arial"/>
              </w:rPr>
              <w:t>t</w:t>
            </w:r>
            <w:r w:rsidRPr="00F61300">
              <w:rPr>
                <w:rFonts w:cs="Arial"/>
              </w:rPr>
              <w:t xml:space="preserve">otal distance of bicycle paths: 18.5 km. </w:t>
            </w:r>
          </w:p>
        </w:tc>
      </w:tr>
      <w:tr w:rsidR="00663FF1" w:rsidRPr="005C63A9" w:rsidTr="006430CE">
        <w:tc>
          <w:tcPr>
            <w:tcW w:w="1435" w:type="dxa"/>
          </w:tcPr>
          <w:p w:rsidR="00663FF1" w:rsidRPr="005C63A9" w:rsidRDefault="00663FF1" w:rsidP="006430CE">
            <w:pPr>
              <w:tabs>
                <w:tab w:val="left" w:pos="851"/>
              </w:tabs>
              <w:spacing w:line="276" w:lineRule="auto"/>
              <w:rPr>
                <w:rFonts w:cs="Arial"/>
                <w:b/>
              </w:rPr>
            </w:pPr>
            <w:r w:rsidRPr="005C63A9">
              <w:rPr>
                <w:rFonts w:cs="Arial"/>
                <w:b/>
              </w:rPr>
              <w:t>Public Transit</w:t>
            </w:r>
          </w:p>
        </w:tc>
        <w:tc>
          <w:tcPr>
            <w:tcW w:w="7582" w:type="dxa"/>
          </w:tcPr>
          <w:p w:rsidR="00663FF1" w:rsidRPr="005C63A9" w:rsidRDefault="00663FF1" w:rsidP="006430CE">
            <w:pPr>
              <w:autoSpaceDE w:val="0"/>
              <w:autoSpaceDN w:val="0"/>
              <w:adjustRightInd w:val="0"/>
              <w:spacing w:line="276" w:lineRule="auto"/>
              <w:rPr>
                <w:rFonts w:cs="Arial"/>
                <w:b/>
              </w:rPr>
            </w:pPr>
            <w:r w:rsidRPr="005C63A9">
              <w:rPr>
                <w:rFonts w:cs="Calibri-Light"/>
              </w:rPr>
              <w:t>Every residence is within 300 meters of a light rail tram</w:t>
            </w:r>
            <w:r>
              <w:rPr>
                <w:rFonts w:cs="Calibri-Light"/>
              </w:rPr>
              <w:t xml:space="preserve"> stations</w:t>
            </w:r>
            <w:r w:rsidRPr="005C63A9">
              <w:rPr>
                <w:rFonts w:cs="Calibri-Light"/>
              </w:rPr>
              <w:t xml:space="preserve">. There are a number of public transit options: </w:t>
            </w:r>
            <w:r>
              <w:rPr>
                <w:rFonts w:cs="Calibri-Light"/>
              </w:rPr>
              <w:t xml:space="preserve">the </w:t>
            </w:r>
            <w:r w:rsidRPr="005C63A9">
              <w:rPr>
                <w:rFonts w:cs="Arial"/>
              </w:rPr>
              <w:t xml:space="preserve">tramline, pedestrian and cycling infrastructure, bike sharing, carpools, a ferry line, </w:t>
            </w:r>
            <w:r>
              <w:rPr>
                <w:rFonts w:cs="Arial"/>
              </w:rPr>
              <w:t xml:space="preserve">and </w:t>
            </w:r>
            <w:r w:rsidRPr="005C63A9">
              <w:rPr>
                <w:rFonts w:cs="Arial"/>
              </w:rPr>
              <w:t>bus line.</w:t>
            </w:r>
          </w:p>
        </w:tc>
      </w:tr>
      <w:tr w:rsidR="00663FF1" w:rsidRPr="005C63A9" w:rsidTr="006430CE">
        <w:tc>
          <w:tcPr>
            <w:tcW w:w="1435" w:type="dxa"/>
          </w:tcPr>
          <w:p w:rsidR="00663FF1" w:rsidRPr="005C63A9" w:rsidRDefault="00663FF1" w:rsidP="006430CE">
            <w:pPr>
              <w:tabs>
                <w:tab w:val="left" w:pos="851"/>
              </w:tabs>
              <w:spacing w:line="276" w:lineRule="auto"/>
              <w:rPr>
                <w:rFonts w:cs="Arial"/>
                <w:b/>
              </w:rPr>
            </w:pPr>
            <w:r w:rsidRPr="005C63A9">
              <w:rPr>
                <w:rFonts w:cs="Arial"/>
                <w:b/>
              </w:rPr>
              <w:t>Car Control</w:t>
            </w:r>
          </w:p>
        </w:tc>
        <w:tc>
          <w:tcPr>
            <w:tcW w:w="7582" w:type="dxa"/>
          </w:tcPr>
          <w:p w:rsidR="00663FF1" w:rsidRPr="005C63A9" w:rsidRDefault="00663FF1" w:rsidP="006430CE">
            <w:pPr>
              <w:tabs>
                <w:tab w:val="left" w:pos="851"/>
              </w:tabs>
              <w:spacing w:line="276" w:lineRule="auto"/>
              <w:rPr>
                <w:rFonts w:cs="Arial"/>
                <w:b/>
              </w:rPr>
            </w:pPr>
            <w:r>
              <w:rPr>
                <w:rFonts w:cs="Arial"/>
              </w:rPr>
              <w:t xml:space="preserve">There are </w:t>
            </w:r>
            <w:r w:rsidRPr="005C63A9">
              <w:rPr>
                <w:rFonts w:cs="Arial"/>
              </w:rPr>
              <w:t>0</w:t>
            </w:r>
            <w:r>
              <w:rPr>
                <w:rFonts w:cs="Arial"/>
              </w:rPr>
              <w:t>.</w:t>
            </w:r>
            <w:r w:rsidRPr="005C63A9">
              <w:rPr>
                <w:rFonts w:cs="Arial"/>
              </w:rPr>
              <w:t>55 parking spaces per household.</w:t>
            </w:r>
            <w:r>
              <w:rPr>
                <w:rFonts w:cs="Arial"/>
              </w:rPr>
              <w:t xml:space="preserve"> </w:t>
            </w:r>
            <w:r w:rsidRPr="005C63A9">
              <w:rPr>
                <w:rFonts w:cs="Arial"/>
              </w:rPr>
              <w:t xml:space="preserve">Car ownership is low. </w:t>
            </w:r>
            <w:r>
              <w:rPr>
                <w:rFonts w:cs="Arial"/>
              </w:rPr>
              <w:t xml:space="preserve">There are </w:t>
            </w:r>
            <w:r w:rsidRPr="005C63A9">
              <w:rPr>
                <w:rFonts w:cs="Arial"/>
              </w:rPr>
              <w:t>210 cars per 1000 residents.</w:t>
            </w:r>
          </w:p>
        </w:tc>
      </w:tr>
      <w:tr w:rsidR="00663FF1" w:rsidRPr="005C63A9" w:rsidTr="006430CE">
        <w:tc>
          <w:tcPr>
            <w:tcW w:w="1435" w:type="dxa"/>
          </w:tcPr>
          <w:p w:rsidR="00663FF1" w:rsidRPr="005C63A9" w:rsidRDefault="00663FF1" w:rsidP="006430CE">
            <w:pPr>
              <w:tabs>
                <w:tab w:val="left" w:pos="851"/>
              </w:tabs>
              <w:spacing w:line="276" w:lineRule="auto"/>
              <w:rPr>
                <w:rFonts w:cs="Arial"/>
                <w:b/>
              </w:rPr>
            </w:pPr>
            <w:r w:rsidRPr="005C63A9">
              <w:rPr>
                <w:rFonts w:cs="Arial"/>
                <w:b/>
              </w:rPr>
              <w:t>Green Buildings</w:t>
            </w:r>
          </w:p>
        </w:tc>
        <w:tc>
          <w:tcPr>
            <w:tcW w:w="7582" w:type="dxa"/>
          </w:tcPr>
          <w:p w:rsidR="00663FF1" w:rsidRPr="005C63A9" w:rsidRDefault="00663FF1" w:rsidP="006430CE">
            <w:pPr>
              <w:tabs>
                <w:tab w:val="left" w:pos="851"/>
              </w:tabs>
              <w:spacing w:line="276" w:lineRule="auto"/>
              <w:rPr>
                <w:rFonts w:cs="Arial"/>
                <w:b/>
              </w:rPr>
            </w:pPr>
            <w:r>
              <w:rPr>
                <w:rFonts w:cs="Arial"/>
              </w:rPr>
              <w:t>The average building energy use in Hammarby is 113 kWh/m</w:t>
            </w:r>
            <w:r w:rsidRPr="004C03DE">
              <w:rPr>
                <w:rFonts w:cs="Arial"/>
                <w:vertAlign w:val="superscript"/>
              </w:rPr>
              <w:t>2</w:t>
            </w:r>
            <w:r>
              <w:rPr>
                <w:rFonts w:cs="Arial"/>
              </w:rPr>
              <w:t>/year. This is much lower than the 2012 Swedish average, which is over 200 kWh/m</w:t>
            </w:r>
            <w:r w:rsidRPr="004C03DE">
              <w:rPr>
                <w:rFonts w:cs="Arial"/>
                <w:vertAlign w:val="superscript"/>
              </w:rPr>
              <w:t>2</w:t>
            </w:r>
            <w:r>
              <w:rPr>
                <w:rFonts w:cs="Arial"/>
              </w:rPr>
              <w:t>/year. The green buildings in Hammarby are classified according</w:t>
            </w:r>
            <w:r w:rsidRPr="005C63A9">
              <w:rPr>
                <w:rFonts w:cs="Arial"/>
              </w:rPr>
              <w:t xml:space="preserve"> </w:t>
            </w:r>
            <w:r w:rsidRPr="009849AF">
              <w:rPr>
                <w:rFonts w:cs="Arial"/>
              </w:rPr>
              <w:t xml:space="preserve">to </w:t>
            </w:r>
            <w:r>
              <w:rPr>
                <w:rFonts w:cs="Arial"/>
              </w:rPr>
              <w:t>4 different</w:t>
            </w:r>
            <w:r w:rsidRPr="009849AF">
              <w:rPr>
                <w:rFonts w:cs="Arial"/>
              </w:rPr>
              <w:t xml:space="preserve"> systems: Environmental</w:t>
            </w:r>
            <w:r>
              <w:rPr>
                <w:rFonts w:cs="Arial"/>
              </w:rPr>
              <w:t xml:space="preserve"> Building,</w:t>
            </w:r>
            <w:r w:rsidRPr="005C63A9">
              <w:rPr>
                <w:rFonts w:cs="Arial"/>
              </w:rPr>
              <w:t xml:space="preserve"> Green Building</w:t>
            </w:r>
            <w:r>
              <w:rPr>
                <w:rFonts w:cs="Arial"/>
              </w:rPr>
              <w:t>, LEED and BREEAM.</w:t>
            </w:r>
          </w:p>
        </w:tc>
      </w:tr>
      <w:tr w:rsidR="00663FF1" w:rsidRPr="00F05AF7" w:rsidTr="006430CE">
        <w:trPr>
          <w:trHeight w:val="578"/>
        </w:trPr>
        <w:tc>
          <w:tcPr>
            <w:tcW w:w="1435" w:type="dxa"/>
          </w:tcPr>
          <w:p w:rsidR="00663FF1" w:rsidRPr="005C63A9" w:rsidRDefault="00663FF1" w:rsidP="006430CE">
            <w:pPr>
              <w:tabs>
                <w:tab w:val="left" w:pos="851"/>
              </w:tabs>
              <w:spacing w:line="276" w:lineRule="auto"/>
              <w:rPr>
                <w:rFonts w:cs="Arial"/>
                <w:b/>
              </w:rPr>
            </w:pPr>
            <w:r w:rsidRPr="005C63A9">
              <w:rPr>
                <w:rFonts w:cs="Arial"/>
                <w:b/>
              </w:rPr>
              <w:t>Renewable and District Energy</w:t>
            </w:r>
          </w:p>
        </w:tc>
        <w:tc>
          <w:tcPr>
            <w:tcW w:w="7582" w:type="dxa"/>
          </w:tcPr>
          <w:p w:rsidR="00663FF1" w:rsidRPr="00F05AF7" w:rsidRDefault="00663FF1" w:rsidP="006430CE">
            <w:pPr>
              <w:tabs>
                <w:tab w:val="left" w:pos="851"/>
              </w:tabs>
              <w:spacing w:line="276" w:lineRule="auto"/>
              <w:rPr>
                <w:rFonts w:cs="Arial"/>
                <w:b/>
              </w:rPr>
            </w:pPr>
            <w:r w:rsidRPr="005C63A9">
              <w:rPr>
                <w:rFonts w:cs="Arial"/>
              </w:rPr>
              <w:t>Integrated district system</w:t>
            </w:r>
            <w:r>
              <w:rPr>
                <w:rFonts w:cs="Arial"/>
              </w:rPr>
              <w:t xml:space="preserve"> with</w:t>
            </w:r>
            <w:r w:rsidRPr="005C63A9">
              <w:rPr>
                <w:rFonts w:cs="Arial"/>
              </w:rPr>
              <w:t xml:space="preserve"> approximately 50 percent of energy</w:t>
            </w:r>
            <w:r>
              <w:rPr>
                <w:rFonts w:cs="Arial"/>
              </w:rPr>
              <w:t xml:space="preserve"> produced</w:t>
            </w:r>
            <w:r w:rsidRPr="005C63A9">
              <w:rPr>
                <w:rFonts w:cs="Arial"/>
              </w:rPr>
              <w:t xml:space="preserve"> from renewable sources.</w:t>
            </w:r>
            <w:r>
              <w:rPr>
                <w:rFonts w:cs="Arial"/>
              </w:rPr>
              <w:t xml:space="preserve"> 80% of the energy extracted from waste and wastewater is being used in Hammarby. </w:t>
            </w:r>
          </w:p>
        </w:tc>
      </w:tr>
      <w:tr w:rsidR="00663FF1" w:rsidRPr="005C63A9" w:rsidTr="006430CE">
        <w:tc>
          <w:tcPr>
            <w:tcW w:w="1435" w:type="dxa"/>
          </w:tcPr>
          <w:p w:rsidR="00663FF1" w:rsidRPr="005C63A9" w:rsidRDefault="00663FF1" w:rsidP="006430CE">
            <w:pPr>
              <w:tabs>
                <w:tab w:val="left" w:pos="851"/>
              </w:tabs>
              <w:spacing w:line="276" w:lineRule="auto"/>
              <w:rPr>
                <w:rFonts w:cs="Arial"/>
                <w:b/>
              </w:rPr>
            </w:pPr>
            <w:r w:rsidRPr="005C63A9">
              <w:rPr>
                <w:rFonts w:cs="Arial"/>
                <w:b/>
              </w:rPr>
              <w:t>Waste Management</w:t>
            </w:r>
          </w:p>
        </w:tc>
        <w:tc>
          <w:tcPr>
            <w:tcW w:w="7582" w:type="dxa"/>
          </w:tcPr>
          <w:p w:rsidR="00663FF1" w:rsidRPr="005C63A9" w:rsidRDefault="00663FF1" w:rsidP="006430CE">
            <w:pPr>
              <w:tabs>
                <w:tab w:val="left" w:pos="851"/>
              </w:tabs>
              <w:spacing w:line="276" w:lineRule="auto"/>
              <w:rPr>
                <w:rFonts w:cs="Arial"/>
                <w:b/>
              </w:rPr>
            </w:pPr>
            <w:r>
              <w:rPr>
                <w:rFonts w:cs="Arial"/>
              </w:rPr>
              <w:t xml:space="preserve">100% of waste is sorted and only 0.7% of waste goes to landfill. 50% of waste is recovered as energy through the waste to energy system, 16% of waste is turned into biogas, 33% is materials recycling, and 1% is hazardous waste. The amount of waste delivered to the landfill is 60% less than comparable developments. </w:t>
            </w:r>
          </w:p>
        </w:tc>
      </w:tr>
      <w:tr w:rsidR="00663FF1" w:rsidRPr="005C63A9" w:rsidTr="006430CE">
        <w:tc>
          <w:tcPr>
            <w:tcW w:w="1435" w:type="dxa"/>
          </w:tcPr>
          <w:p w:rsidR="00663FF1" w:rsidRPr="005C63A9" w:rsidRDefault="00663FF1" w:rsidP="006430CE">
            <w:pPr>
              <w:tabs>
                <w:tab w:val="left" w:pos="851"/>
              </w:tabs>
              <w:spacing w:line="276" w:lineRule="auto"/>
              <w:rPr>
                <w:rFonts w:cs="Arial"/>
                <w:b/>
              </w:rPr>
            </w:pPr>
            <w:r w:rsidRPr="005C63A9">
              <w:rPr>
                <w:rFonts w:cs="Arial"/>
                <w:b/>
              </w:rPr>
              <w:t>Water Efficiency</w:t>
            </w:r>
          </w:p>
        </w:tc>
        <w:tc>
          <w:tcPr>
            <w:tcW w:w="7582" w:type="dxa"/>
          </w:tcPr>
          <w:p w:rsidR="00663FF1" w:rsidRPr="005C63A9" w:rsidRDefault="00663FF1" w:rsidP="006430CE">
            <w:pPr>
              <w:tabs>
                <w:tab w:val="left" w:pos="851"/>
              </w:tabs>
              <w:spacing w:line="276" w:lineRule="auto"/>
              <w:rPr>
                <w:rFonts w:cs="Arial"/>
                <w:b/>
              </w:rPr>
            </w:pPr>
            <w:r w:rsidRPr="005C63A9">
              <w:rPr>
                <w:rFonts w:cs="Arial"/>
              </w:rPr>
              <w:t xml:space="preserve">100 percent of the water is recycled. </w:t>
            </w:r>
            <w:r>
              <w:rPr>
                <w:rFonts w:cs="Arial"/>
              </w:rPr>
              <w:t xml:space="preserve">All storm water is managed locally and purified before release. </w:t>
            </w:r>
          </w:p>
        </w:tc>
      </w:tr>
    </w:tbl>
    <w:p w:rsidR="00663FF1" w:rsidRDefault="00663FF1" w:rsidP="00663FF1">
      <w:pPr>
        <w:spacing w:line="276" w:lineRule="auto"/>
        <w:rPr>
          <w:rFonts w:cs="Arial"/>
        </w:rPr>
      </w:pPr>
    </w:p>
    <w:p w:rsidR="00663FF1" w:rsidRDefault="00663FF1" w:rsidP="00663FF1">
      <w:pPr>
        <w:spacing w:line="276" w:lineRule="auto"/>
      </w:pPr>
      <w:r w:rsidRPr="00F77892">
        <w:lastRenderedPageBreak/>
        <w:t xml:space="preserve">The </w:t>
      </w:r>
      <w:r>
        <w:t>successful development</w:t>
      </w:r>
      <w:r w:rsidRPr="00F77892">
        <w:t xml:space="preserve"> of Hammarby Sjöstad is a result of many coinciding factors; political,</w:t>
      </w:r>
      <w:r>
        <w:t xml:space="preserve"> economic, historical, and cultural. These are all </w:t>
      </w:r>
      <w:r w:rsidRPr="00F77892">
        <w:t xml:space="preserve">important factors to really understand why Stockholm is in the international forefront building and designing sustainable city districts.  </w:t>
      </w:r>
    </w:p>
    <w:p w:rsidR="00663FF1" w:rsidRPr="00F77892" w:rsidRDefault="00663FF1" w:rsidP="00663FF1">
      <w:pPr>
        <w:pStyle w:val="Rubrik2"/>
      </w:pPr>
      <w:bookmarkStart w:id="3" w:name="_Toc433726368"/>
      <w:r>
        <w:t xml:space="preserve">1.2 Major Lessons </w:t>
      </w:r>
      <w:r>
        <w:softHyphen/>
      </w:r>
      <w:bookmarkEnd w:id="3"/>
    </w:p>
    <w:p w:rsidR="00663FF1" w:rsidRPr="00F77892" w:rsidRDefault="00663FF1" w:rsidP="00663FF1">
      <w:pPr>
        <w:spacing w:line="276" w:lineRule="auto"/>
      </w:pPr>
      <w:r>
        <w:t>The following major lessons</w:t>
      </w:r>
      <w:r w:rsidRPr="00F77892">
        <w:t xml:space="preserve"> </w:t>
      </w:r>
      <w:r>
        <w:t>are</w:t>
      </w:r>
      <w:r w:rsidRPr="00F77892">
        <w:t xml:space="preserve"> presented as guidance and for future development</w:t>
      </w:r>
      <w:r>
        <w:t>s</w:t>
      </w:r>
      <w:r w:rsidRPr="00F77892">
        <w:t xml:space="preserve">. </w:t>
      </w:r>
      <w:r>
        <w:t>The government (national, regional, and local), developers, financial institutions, and technology providers can all learn from these lessons. We hope that these</w:t>
      </w:r>
      <w:r w:rsidRPr="00F77892">
        <w:t xml:space="preserve"> </w:t>
      </w:r>
      <w:r>
        <w:t>major lessons</w:t>
      </w:r>
      <w:r w:rsidRPr="00F77892">
        <w:t xml:space="preserve"> </w:t>
      </w:r>
      <w:r>
        <w:t xml:space="preserve">will inspire </w:t>
      </w:r>
      <w:r w:rsidRPr="00F77892">
        <w:t>fresh way</w:t>
      </w:r>
      <w:r>
        <w:t>s</w:t>
      </w:r>
      <w:r w:rsidRPr="00F77892">
        <w:t xml:space="preserve"> of thinking about development</w:t>
      </w:r>
      <w:r>
        <w:t xml:space="preserve"> and</w:t>
      </w:r>
      <w:r w:rsidRPr="00F77892">
        <w:t xml:space="preserve"> </w:t>
      </w:r>
      <w:r>
        <w:t>project management to encourage sustainability and economic prosperity.</w:t>
      </w:r>
    </w:p>
    <w:p w:rsidR="00663FF1" w:rsidRPr="005270DD" w:rsidRDefault="00663FF1" w:rsidP="00663FF1">
      <w:pPr>
        <w:pStyle w:val="Liststycke"/>
        <w:numPr>
          <w:ilvl w:val="0"/>
          <w:numId w:val="4"/>
        </w:numPr>
        <w:tabs>
          <w:tab w:val="clear" w:pos="567"/>
          <w:tab w:val="left" w:pos="810"/>
        </w:tabs>
      </w:pPr>
      <w:r w:rsidRPr="005270DD">
        <w:t xml:space="preserve">Sustainable urban development requires a holistic approach and the 12 Green Guidelines offer the framework for this approach.  </w:t>
      </w:r>
    </w:p>
    <w:p w:rsidR="00663FF1" w:rsidRPr="005270DD" w:rsidRDefault="00663FF1" w:rsidP="00663FF1">
      <w:pPr>
        <w:pStyle w:val="Liststycke"/>
        <w:numPr>
          <w:ilvl w:val="0"/>
          <w:numId w:val="4"/>
        </w:numPr>
        <w:tabs>
          <w:tab w:val="clear" w:pos="567"/>
          <w:tab w:val="left" w:pos="810"/>
        </w:tabs>
      </w:pPr>
      <w:r w:rsidRPr="005270DD">
        <w:t>Prioritize densifying areas that are adjacent to the city, even if these are brownfields.</w:t>
      </w:r>
    </w:p>
    <w:p w:rsidR="00663FF1" w:rsidRPr="005270DD" w:rsidRDefault="00663FF1" w:rsidP="00663FF1">
      <w:pPr>
        <w:pStyle w:val="Liststycke"/>
        <w:numPr>
          <w:ilvl w:val="0"/>
          <w:numId w:val="4"/>
        </w:numPr>
        <w:tabs>
          <w:tab w:val="clear" w:pos="567"/>
          <w:tab w:val="left" w:pos="810"/>
        </w:tabs>
      </w:pPr>
      <w:r w:rsidRPr="005270DD">
        <w:t xml:space="preserve">Various departments from the government, private sector, and academia must all be deeply involved in the planning process.  </w:t>
      </w:r>
    </w:p>
    <w:p w:rsidR="00663FF1" w:rsidRPr="005270DD" w:rsidRDefault="00663FF1" w:rsidP="00663FF1">
      <w:pPr>
        <w:pStyle w:val="Liststycke"/>
        <w:numPr>
          <w:ilvl w:val="0"/>
          <w:numId w:val="4"/>
        </w:numPr>
        <w:tabs>
          <w:tab w:val="clear" w:pos="567"/>
          <w:tab w:val="left" w:pos="810"/>
        </w:tabs>
      </w:pPr>
      <w:r w:rsidRPr="005270DD">
        <w:t xml:space="preserve">A variety of channels (design and financial) must be used to change </w:t>
      </w:r>
      <w:proofErr w:type="spellStart"/>
      <w:r w:rsidRPr="005270DD">
        <w:t>behaviors</w:t>
      </w:r>
      <w:proofErr w:type="spellEnd"/>
      <w:r w:rsidRPr="005270DD">
        <w:t xml:space="preserve"> and mindsets. </w:t>
      </w:r>
    </w:p>
    <w:p w:rsidR="00663FF1" w:rsidRPr="005270DD" w:rsidRDefault="00663FF1" w:rsidP="00663FF1">
      <w:pPr>
        <w:pStyle w:val="Liststycke"/>
        <w:numPr>
          <w:ilvl w:val="0"/>
          <w:numId w:val="4"/>
        </w:numPr>
        <w:tabs>
          <w:tab w:val="clear" w:pos="567"/>
          <w:tab w:val="left" w:pos="810"/>
        </w:tabs>
      </w:pPr>
      <w:r w:rsidRPr="005270DD">
        <w:t>Life-cycle assessments can reveal the true value of high environmental design standards.</w:t>
      </w:r>
    </w:p>
    <w:p w:rsidR="00663FF1" w:rsidRDefault="00663FF1" w:rsidP="00663FF1">
      <w:pPr>
        <w:spacing w:line="276" w:lineRule="auto"/>
        <w:rPr>
          <w:i/>
        </w:rPr>
      </w:pPr>
    </w:p>
    <w:p w:rsidR="00663FF1" w:rsidRPr="00AC2AD2" w:rsidRDefault="00663FF1" w:rsidP="00663FF1">
      <w:pPr>
        <w:tabs>
          <w:tab w:val="left" w:pos="360"/>
        </w:tabs>
        <w:spacing w:line="276" w:lineRule="auto"/>
        <w:rPr>
          <w:b/>
        </w:rPr>
      </w:pPr>
      <w:r w:rsidRPr="00AC2AD2">
        <w:rPr>
          <w:b/>
        </w:rPr>
        <w:t xml:space="preserve">1. Sustainable urban development requires a holistic approach and the 12 Green Guidelines offer the </w:t>
      </w:r>
      <w:r>
        <w:rPr>
          <w:b/>
        </w:rPr>
        <w:t>framework</w:t>
      </w:r>
      <w:r w:rsidRPr="00AC2AD2">
        <w:rPr>
          <w:b/>
        </w:rPr>
        <w:t xml:space="preserve"> for this approach.  </w:t>
      </w:r>
    </w:p>
    <w:p w:rsidR="00663FF1" w:rsidRDefault="00663FF1" w:rsidP="00663FF1">
      <w:pPr>
        <w:spacing w:line="276" w:lineRule="auto"/>
      </w:pPr>
      <w:r>
        <w:t xml:space="preserve">The eco-cycle strategy (the Hammarby Model, see Section 3.3) takes into account three different energy flows to find synergies. Taking into consideration all 12 of the Green Guidelines can help with this holistic approach. For </w:t>
      </w:r>
      <w:proofErr w:type="gramStart"/>
      <w:r>
        <w:t>instance ,the</w:t>
      </w:r>
      <w:proofErr w:type="gramEnd"/>
      <w:r>
        <w:t xml:space="preserve"> urban form of Hammarby helped to decrease transportation emissions, and the waste-to-energy system helped to decrease waste and improve energy efficiency.  </w:t>
      </w:r>
      <w:r w:rsidRPr="00E07957">
        <w:t xml:space="preserve"> </w:t>
      </w:r>
    </w:p>
    <w:p w:rsidR="00663FF1" w:rsidRDefault="00663FF1" w:rsidP="00663FF1">
      <w:pPr>
        <w:spacing w:line="276" w:lineRule="auto"/>
      </w:pPr>
      <w:r w:rsidRPr="00D15A61">
        <w:rPr>
          <w:b/>
        </w:rPr>
        <w:t>2. Prioritize</w:t>
      </w:r>
      <w:r w:rsidRPr="00E07957">
        <w:rPr>
          <w:b/>
        </w:rPr>
        <w:t xml:space="preserve"> densifying areas that are adjacent to the city, even if these are brownfields</w:t>
      </w:r>
      <w:r>
        <w:t>.</w:t>
      </w:r>
    </w:p>
    <w:p w:rsidR="00663FF1" w:rsidRPr="005270DD" w:rsidRDefault="00663FF1" w:rsidP="00663FF1">
      <w:pPr>
        <w:spacing w:line="276" w:lineRule="auto"/>
      </w:pPr>
      <w:r w:rsidRPr="00E07957">
        <w:t xml:space="preserve">Densify areas adjacent to the city. The soil remediation conducted by the City of Stockholm is a small </w:t>
      </w:r>
      <w:r>
        <w:t>sacrifice</w:t>
      </w:r>
      <w:r w:rsidRPr="00E07957">
        <w:t xml:space="preserve"> </w:t>
      </w:r>
      <w:r>
        <w:t>when compared to the substantial advantage of developing near the</w:t>
      </w:r>
      <w:r w:rsidRPr="00E07957">
        <w:t xml:space="preserve"> city. </w:t>
      </w:r>
      <w:r>
        <w:t>This development approach also makes it easier to integrate the transportation system</w:t>
      </w:r>
      <w:r w:rsidRPr="00E07957">
        <w:t xml:space="preserve"> and technologies for water</w:t>
      </w:r>
      <w:r>
        <w:t xml:space="preserve"> and</w:t>
      </w:r>
      <w:r w:rsidRPr="00E07957">
        <w:t xml:space="preserve"> energy (electricity, district heating and cooling) </w:t>
      </w:r>
      <w:r>
        <w:t xml:space="preserve">into the existing city infrastructure. </w:t>
      </w:r>
    </w:p>
    <w:p w:rsidR="00663FF1" w:rsidRPr="00AC2AD2" w:rsidRDefault="00663FF1" w:rsidP="00663FF1">
      <w:pPr>
        <w:tabs>
          <w:tab w:val="left" w:pos="360"/>
        </w:tabs>
        <w:spacing w:line="276" w:lineRule="auto"/>
        <w:rPr>
          <w:rFonts w:cs="Arial"/>
          <w:b/>
          <w:bCs/>
        </w:rPr>
      </w:pPr>
      <w:r w:rsidRPr="00AC2AD2">
        <w:rPr>
          <w:rFonts w:cs="Arial"/>
          <w:b/>
          <w:bCs/>
        </w:rPr>
        <w:t xml:space="preserve">3. Various departments from the government, private sector, and academia must all be deeply involved in the planning process.  </w:t>
      </w:r>
    </w:p>
    <w:p w:rsidR="00663FF1" w:rsidRPr="00E07957" w:rsidRDefault="00663FF1" w:rsidP="00663FF1">
      <w:pPr>
        <w:spacing w:line="276" w:lineRule="auto"/>
      </w:pPr>
      <w:r w:rsidRPr="00E07957">
        <w:t>Political will and decisions based on a broad political consensus and commitment</w:t>
      </w:r>
      <w:r>
        <w:t xml:space="preserve"> be</w:t>
      </w:r>
      <w:r w:rsidRPr="00E07957">
        <w:t xml:space="preserve"> </w:t>
      </w:r>
      <w:r>
        <w:t>must achieved to realize</w:t>
      </w:r>
      <w:r w:rsidRPr="00E07957">
        <w:t xml:space="preserve"> the project. </w:t>
      </w:r>
      <w:r w:rsidRPr="00E07957">
        <w:rPr>
          <w:rFonts w:cs="Arial"/>
        </w:rPr>
        <w:t xml:space="preserve">The development of Hammarby Sjöstad is an example of the triple helix concept where </w:t>
      </w:r>
      <w:r>
        <w:rPr>
          <w:rFonts w:cs="Arial"/>
        </w:rPr>
        <w:t>g</w:t>
      </w:r>
      <w:r w:rsidRPr="00E07957">
        <w:rPr>
          <w:rFonts w:cs="Arial"/>
        </w:rPr>
        <w:t>overnment</w:t>
      </w:r>
      <w:r>
        <w:rPr>
          <w:rFonts w:cs="Arial"/>
        </w:rPr>
        <w:t xml:space="preserve">, the </w:t>
      </w:r>
      <w:r w:rsidRPr="00E07957">
        <w:rPr>
          <w:rFonts w:cs="Arial"/>
        </w:rPr>
        <w:t>private sector</w:t>
      </w:r>
      <w:r>
        <w:rPr>
          <w:rFonts w:cs="Arial"/>
        </w:rPr>
        <w:t xml:space="preserve">, </w:t>
      </w:r>
      <w:r w:rsidRPr="00E07957">
        <w:rPr>
          <w:rFonts w:cs="Arial"/>
        </w:rPr>
        <w:t xml:space="preserve">and </w:t>
      </w:r>
      <w:r>
        <w:rPr>
          <w:rFonts w:cs="Arial"/>
        </w:rPr>
        <w:t>a</w:t>
      </w:r>
      <w:r w:rsidRPr="00E07957">
        <w:rPr>
          <w:rFonts w:cs="Arial"/>
        </w:rPr>
        <w:t xml:space="preserve">cademia all interact and take part in the development. </w:t>
      </w:r>
      <w:r>
        <w:rPr>
          <w:rFonts w:cs="Arial"/>
        </w:rPr>
        <w:t>It was vital that an</w:t>
      </w:r>
      <w:r w:rsidRPr="00E07957">
        <w:rPr>
          <w:rFonts w:cs="Arial"/>
        </w:rPr>
        <w:t xml:space="preserve"> interdisciplinary project group within the </w:t>
      </w:r>
      <w:r>
        <w:rPr>
          <w:rFonts w:cs="Arial"/>
        </w:rPr>
        <w:t>c</w:t>
      </w:r>
      <w:r w:rsidRPr="00E07957">
        <w:rPr>
          <w:rFonts w:cs="Arial"/>
        </w:rPr>
        <w:t xml:space="preserve">ity </w:t>
      </w:r>
      <w:r>
        <w:rPr>
          <w:rFonts w:cs="Arial"/>
        </w:rPr>
        <w:t>a</w:t>
      </w:r>
      <w:r w:rsidRPr="00E07957">
        <w:rPr>
          <w:rFonts w:cs="Arial"/>
        </w:rPr>
        <w:t xml:space="preserve">dministration together with the developers, researchers and other stakeholders </w:t>
      </w:r>
      <w:r>
        <w:rPr>
          <w:rFonts w:cs="Arial"/>
        </w:rPr>
        <w:t>was</w:t>
      </w:r>
      <w:r w:rsidRPr="00E07957">
        <w:rPr>
          <w:rFonts w:cs="Arial"/>
        </w:rPr>
        <w:t xml:space="preserve"> formed </w:t>
      </w:r>
      <w:r>
        <w:rPr>
          <w:rFonts w:cs="Arial"/>
        </w:rPr>
        <w:t>at</w:t>
      </w:r>
      <w:r w:rsidRPr="00E07957">
        <w:rPr>
          <w:rFonts w:cs="Arial"/>
        </w:rPr>
        <w:t xml:space="preserve"> the beginning of the project. </w:t>
      </w:r>
    </w:p>
    <w:p w:rsidR="00663FF1" w:rsidRPr="00D15A61" w:rsidRDefault="00663FF1" w:rsidP="00663FF1">
      <w:pPr>
        <w:spacing w:line="276" w:lineRule="auto"/>
        <w:jc w:val="center"/>
      </w:pPr>
      <w:r>
        <w:rPr>
          <w:noProof/>
          <w:lang w:eastAsia="zh-CN"/>
        </w:rPr>
        <w:lastRenderedPageBreak/>
        <w:drawing>
          <wp:inline distT="0" distB="0" distL="0" distR="0" wp14:anchorId="25351B5A" wp14:editId="016705D8">
            <wp:extent cx="2127250" cy="1917700"/>
            <wp:effectExtent l="0" t="0" r="6350" b="6350"/>
            <wp:docPr id="3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extLst>
                        <a:ext uri="{28A0092B-C50C-407E-A947-70E740481C1C}">
                          <a14:useLocalDpi xmlns:a14="http://schemas.microsoft.com/office/drawing/2010/main" val="0"/>
                        </a:ext>
                      </a:extLst>
                    </a:blip>
                    <a:srcRect l="5598" t="7129" r="2081"/>
                    <a:stretch>
                      <a:fillRect/>
                    </a:stretch>
                  </pic:blipFill>
                  <pic:spPr bwMode="auto">
                    <a:xfrm>
                      <a:off x="0" y="0"/>
                      <a:ext cx="2127250" cy="1917700"/>
                    </a:xfrm>
                    <a:prstGeom prst="rect">
                      <a:avLst/>
                    </a:prstGeom>
                    <a:noFill/>
                    <a:ln>
                      <a:noFill/>
                    </a:ln>
                  </pic:spPr>
                </pic:pic>
              </a:graphicData>
            </a:graphic>
          </wp:inline>
        </w:drawing>
      </w:r>
    </w:p>
    <w:p w:rsidR="00663FF1" w:rsidRDefault="00663FF1" w:rsidP="00663FF1">
      <w:pPr>
        <w:pStyle w:val="Underrubrik"/>
      </w:pPr>
      <w:bookmarkStart w:id="4" w:name="_Toc428878700"/>
      <w:r w:rsidRPr="00D16585">
        <w:t xml:space="preserve">Figure </w:t>
      </w:r>
      <w:fldSimple w:instr=" SEQ Figure \* ARABIC ">
        <w:r>
          <w:rPr>
            <w:noProof/>
          </w:rPr>
          <w:t>1</w:t>
        </w:r>
      </w:fldSimple>
      <w:r w:rsidRPr="00D16585">
        <w:t xml:space="preserve">. The </w:t>
      </w:r>
      <w:r>
        <w:t>Triple</w:t>
      </w:r>
      <w:r w:rsidRPr="00D16585">
        <w:t xml:space="preserve"> Helix Model</w:t>
      </w:r>
      <w:bookmarkEnd w:id="4"/>
      <w:r>
        <w:t xml:space="preserve"> (</w:t>
      </w:r>
      <w:r w:rsidRPr="00D15A61">
        <w:t xml:space="preserve">Source: The </w:t>
      </w:r>
      <w:proofErr w:type="spellStart"/>
      <w:r w:rsidRPr="00D15A61">
        <w:t>SymbioCity</w:t>
      </w:r>
      <w:proofErr w:type="spellEnd"/>
      <w:r w:rsidRPr="00D15A61">
        <w:t xml:space="preserve"> Approach, 2011)</w:t>
      </w:r>
    </w:p>
    <w:p w:rsidR="00663FF1" w:rsidRPr="00B7280C" w:rsidRDefault="00663FF1" w:rsidP="00663FF1">
      <w:pPr>
        <w:rPr>
          <w:lang w:eastAsia="zh-CN"/>
        </w:rPr>
      </w:pPr>
    </w:p>
    <w:p w:rsidR="00663FF1" w:rsidRPr="005270DD" w:rsidRDefault="00663FF1" w:rsidP="00663FF1">
      <w:pPr>
        <w:spacing w:line="276" w:lineRule="auto"/>
        <w:rPr>
          <w:rFonts w:cs="Arial"/>
        </w:rPr>
      </w:pPr>
      <w:r>
        <w:rPr>
          <w:b/>
        </w:rPr>
        <w:t>4. A variety of channels (design and financial) must be used to change behaviors and mindsets</w:t>
      </w:r>
      <w:r w:rsidRPr="00A2546A">
        <w:t xml:space="preserve">: </w:t>
      </w:r>
      <w:r w:rsidRPr="00A2546A">
        <w:rPr>
          <w:rFonts w:cs="Arial"/>
        </w:rPr>
        <w:t>Planners, architects</w:t>
      </w:r>
      <w:r>
        <w:rPr>
          <w:rFonts w:cs="Arial"/>
        </w:rPr>
        <w:t>,</w:t>
      </w:r>
      <w:r w:rsidRPr="00A2546A">
        <w:rPr>
          <w:rFonts w:cs="Arial"/>
        </w:rPr>
        <w:t xml:space="preserve"> and contractors wanted to make environmentally-friendly behavior the </w:t>
      </w:r>
      <w:r>
        <w:rPr>
          <w:rFonts w:cs="Arial"/>
        </w:rPr>
        <w:t>default</w:t>
      </w:r>
      <w:r w:rsidRPr="00A2546A">
        <w:rPr>
          <w:rFonts w:cs="Arial"/>
        </w:rPr>
        <w:t xml:space="preserve"> choice for residents through the provision and design of the development's infrastructure. </w:t>
      </w:r>
      <w:r>
        <w:rPr>
          <w:rFonts w:cs="Arial"/>
        </w:rPr>
        <w:t>For Hammarby, it is often cited that 75 per</w:t>
      </w:r>
      <w:r w:rsidRPr="00A2546A">
        <w:rPr>
          <w:rFonts w:cs="Arial"/>
        </w:rPr>
        <w:t xml:space="preserve">cent of pro-environmental behavior </w:t>
      </w:r>
      <w:r>
        <w:rPr>
          <w:rFonts w:cs="Arial"/>
        </w:rPr>
        <w:t>comes</w:t>
      </w:r>
      <w:r w:rsidRPr="00A2546A">
        <w:rPr>
          <w:rFonts w:cs="Arial"/>
        </w:rPr>
        <w:t xml:space="preserve"> </w:t>
      </w:r>
      <w:r>
        <w:rPr>
          <w:rFonts w:cs="Arial"/>
        </w:rPr>
        <w:t>from</w:t>
      </w:r>
      <w:r w:rsidRPr="00A2546A">
        <w:rPr>
          <w:rFonts w:cs="Arial"/>
        </w:rPr>
        <w:t xml:space="preserve"> </w:t>
      </w:r>
      <w:r>
        <w:rPr>
          <w:rFonts w:cs="Arial"/>
        </w:rPr>
        <w:t xml:space="preserve">the </w:t>
      </w:r>
      <w:r w:rsidRPr="00A2546A">
        <w:rPr>
          <w:rFonts w:cs="Arial"/>
        </w:rPr>
        <w:t>de</w:t>
      </w:r>
      <w:r>
        <w:rPr>
          <w:rFonts w:cs="Arial"/>
        </w:rPr>
        <w:t xml:space="preserve">sign. The remaining 25 percent is achieved through raising awareness and </w:t>
      </w:r>
      <w:r w:rsidRPr="00A2546A">
        <w:rPr>
          <w:rFonts w:cs="Arial"/>
        </w:rPr>
        <w:t>educational projects</w:t>
      </w:r>
      <w:r>
        <w:rPr>
          <w:rFonts w:cs="Arial"/>
        </w:rPr>
        <w:t xml:space="preserve"> targeted at all the key stakeholders</w:t>
      </w:r>
      <w:r w:rsidRPr="00A2546A">
        <w:rPr>
          <w:rFonts w:cs="Arial"/>
        </w:rPr>
        <w:t>. In</w:t>
      </w:r>
      <w:r>
        <w:rPr>
          <w:rFonts w:cs="Arial"/>
        </w:rPr>
        <w:t>dividuals are also financially</w:t>
      </w:r>
      <w:r w:rsidRPr="00A2546A">
        <w:rPr>
          <w:rFonts w:cs="Arial"/>
        </w:rPr>
        <w:t xml:space="preserve"> incentiv</w:t>
      </w:r>
      <w:r>
        <w:rPr>
          <w:rFonts w:cs="Arial"/>
        </w:rPr>
        <w:t>iz</w:t>
      </w:r>
      <w:r w:rsidRPr="00A2546A">
        <w:rPr>
          <w:rFonts w:cs="Arial"/>
        </w:rPr>
        <w:t>e</w:t>
      </w:r>
      <w:r>
        <w:rPr>
          <w:rFonts w:cs="Arial"/>
        </w:rPr>
        <w:t>d</w:t>
      </w:r>
      <w:r w:rsidRPr="00A2546A">
        <w:rPr>
          <w:rFonts w:cs="Arial"/>
        </w:rPr>
        <w:t xml:space="preserve"> to reduce their environmental impact by being billed for their utilities in proportion to their usage. </w:t>
      </w:r>
    </w:p>
    <w:p w:rsidR="00663FF1" w:rsidRPr="005270DD" w:rsidRDefault="00663FF1" w:rsidP="00663FF1">
      <w:pPr>
        <w:spacing w:line="276" w:lineRule="auto"/>
        <w:rPr>
          <w:rFonts w:cs="Arial"/>
        </w:rPr>
      </w:pPr>
      <w:r>
        <w:rPr>
          <w:rFonts w:cs="Arial"/>
          <w:b/>
        </w:rPr>
        <w:t>5. Using life-cycle assessments can reveal the true value of high environmental design standards</w:t>
      </w:r>
      <w:r w:rsidRPr="00A2546A">
        <w:rPr>
          <w:rFonts w:cs="Arial"/>
          <w:b/>
        </w:rPr>
        <w:t>:</w:t>
      </w:r>
      <w:r w:rsidRPr="00A2546A">
        <w:rPr>
          <w:rFonts w:cs="Arial"/>
        </w:rPr>
        <w:t xml:space="preserve"> Using life-cycle cost analysis in planning decisions helped to justify the added cost of higher environmental design standards.</w:t>
      </w:r>
      <w:bookmarkStart w:id="5" w:name="_Toc427675006"/>
    </w:p>
    <w:p w:rsidR="00663FF1" w:rsidRPr="00F77892" w:rsidRDefault="00663FF1" w:rsidP="00663FF1">
      <w:pPr>
        <w:pStyle w:val="Rubrik2"/>
      </w:pPr>
      <w:bookmarkStart w:id="6" w:name="_Toc433726369"/>
      <w:r w:rsidRPr="00F77892">
        <w:t>1.</w:t>
      </w:r>
      <w:r>
        <w:t>3</w:t>
      </w:r>
      <w:r w:rsidRPr="00F77892">
        <w:t xml:space="preserve"> Major Economic </w:t>
      </w:r>
      <w:r>
        <w:t xml:space="preserve">and Social </w:t>
      </w:r>
      <w:r w:rsidRPr="00F77892">
        <w:t>Achievements of Hammarby</w:t>
      </w:r>
      <w:bookmarkEnd w:id="5"/>
      <w:bookmarkEnd w:id="6"/>
      <w:r w:rsidRPr="00F77892">
        <w:t xml:space="preserve"> </w:t>
      </w:r>
    </w:p>
    <w:p w:rsidR="00663FF1" w:rsidRPr="00F77892" w:rsidRDefault="00663FF1" w:rsidP="00663FF1">
      <w:pPr>
        <w:spacing w:line="276" w:lineRule="auto"/>
        <w:rPr>
          <w:rFonts w:cs="Arial"/>
        </w:rPr>
      </w:pPr>
      <w:r>
        <w:rPr>
          <w:rFonts w:cs="Arial"/>
          <w:b/>
        </w:rPr>
        <w:t>Increased tax assessment values</w:t>
      </w:r>
      <w:r w:rsidRPr="00A2546A">
        <w:rPr>
          <w:rFonts w:cs="Arial"/>
          <w:b/>
        </w:rPr>
        <w:t>:</w:t>
      </w:r>
      <w:r w:rsidRPr="00A2546A">
        <w:rPr>
          <w:rFonts w:cs="Arial"/>
        </w:rPr>
        <w:t xml:space="preserve"> The tax assessment values (based on historical property sales) ha</w:t>
      </w:r>
      <w:r>
        <w:rPr>
          <w:rFonts w:cs="Arial"/>
        </w:rPr>
        <w:t>ve</w:t>
      </w:r>
      <w:r w:rsidRPr="00A2546A">
        <w:rPr>
          <w:rFonts w:cs="Arial"/>
        </w:rPr>
        <w:t xml:space="preserve"> increased more in Hammarby Sjöstad compared to the city as a whole (the tax assessment values are updated every four years - thus the character of the development in the chart found in Appendix 3). </w:t>
      </w:r>
    </w:p>
    <w:p w:rsidR="00663FF1" w:rsidRPr="00F77892" w:rsidRDefault="00663FF1" w:rsidP="00663FF1">
      <w:pPr>
        <w:spacing w:line="276" w:lineRule="auto"/>
        <w:rPr>
          <w:rFonts w:cs="Arial"/>
        </w:rPr>
      </w:pPr>
      <w:r>
        <w:rPr>
          <w:rFonts w:cs="Arial"/>
          <w:b/>
        </w:rPr>
        <w:t>Growth in value of the property market</w:t>
      </w:r>
      <w:r w:rsidRPr="00A2546A">
        <w:rPr>
          <w:rFonts w:cs="Arial"/>
          <w:b/>
        </w:rPr>
        <w:t>:</w:t>
      </w:r>
      <w:r w:rsidRPr="00A2546A">
        <w:rPr>
          <w:rFonts w:cs="Arial"/>
        </w:rPr>
        <w:t xml:space="preserve"> The property market in the region of Stockholm has been in an up</w:t>
      </w:r>
      <w:r>
        <w:rPr>
          <w:rFonts w:cs="Arial"/>
        </w:rPr>
        <w:t>wards</w:t>
      </w:r>
      <w:r w:rsidRPr="00A2546A">
        <w:rPr>
          <w:rFonts w:cs="Arial"/>
        </w:rPr>
        <w:t xml:space="preserve"> trend as the region grows rapidly. </w:t>
      </w:r>
      <w:r>
        <w:rPr>
          <w:rFonts w:cs="Arial"/>
        </w:rPr>
        <w:t>The</w:t>
      </w:r>
      <w:r w:rsidRPr="00A2546A">
        <w:rPr>
          <w:rFonts w:cs="Arial"/>
        </w:rPr>
        <w:t xml:space="preserve"> queue time to get rental apartments</w:t>
      </w:r>
      <w:r>
        <w:rPr>
          <w:rFonts w:cs="Arial"/>
        </w:rPr>
        <w:t xml:space="preserve"> </w:t>
      </w:r>
      <w:r w:rsidRPr="00A2546A">
        <w:rPr>
          <w:rFonts w:cs="Arial"/>
        </w:rPr>
        <w:t xml:space="preserve">in the district has also increased despite higher rental levels than </w:t>
      </w:r>
      <w:r>
        <w:rPr>
          <w:rFonts w:cs="Arial"/>
        </w:rPr>
        <w:t xml:space="preserve">in </w:t>
      </w:r>
      <w:r w:rsidRPr="00A2546A">
        <w:rPr>
          <w:rFonts w:cs="Arial"/>
        </w:rPr>
        <w:t xml:space="preserve">the city as a whole. This indicates </w:t>
      </w:r>
      <w:r>
        <w:rPr>
          <w:rFonts w:cs="Arial"/>
        </w:rPr>
        <w:t xml:space="preserve">the </w:t>
      </w:r>
      <w:r w:rsidRPr="00A2546A">
        <w:rPr>
          <w:rFonts w:cs="Arial"/>
        </w:rPr>
        <w:t xml:space="preserve">higher profit level of Hammarby due to the </w:t>
      </w:r>
      <w:r>
        <w:rPr>
          <w:rFonts w:cs="Arial"/>
        </w:rPr>
        <w:t xml:space="preserve">growing property values in the </w:t>
      </w:r>
      <w:proofErr w:type="gramStart"/>
      <w:r>
        <w:rPr>
          <w:rFonts w:cs="Arial"/>
        </w:rPr>
        <w:t xml:space="preserve">district </w:t>
      </w:r>
      <w:r w:rsidRPr="00A2546A">
        <w:rPr>
          <w:rFonts w:cs="Arial"/>
        </w:rPr>
        <w:t xml:space="preserve"> (</w:t>
      </w:r>
      <w:proofErr w:type="gramEnd"/>
      <w:r w:rsidRPr="00A2546A">
        <w:rPr>
          <w:rFonts w:cs="Arial"/>
        </w:rPr>
        <w:t>see table in Appendix 3).</w:t>
      </w:r>
    </w:p>
    <w:p w:rsidR="00663FF1" w:rsidRPr="00F77892" w:rsidRDefault="00663FF1" w:rsidP="00663FF1">
      <w:pPr>
        <w:spacing w:line="276" w:lineRule="auto"/>
        <w:rPr>
          <w:rFonts w:cs="Arial"/>
        </w:rPr>
      </w:pPr>
      <w:r>
        <w:rPr>
          <w:rFonts w:cs="Arial"/>
          <w:b/>
        </w:rPr>
        <w:t>Higher purchasing price</w:t>
      </w:r>
      <w:r w:rsidRPr="00A2546A">
        <w:rPr>
          <w:rFonts w:cs="Arial"/>
          <w:b/>
        </w:rPr>
        <w:t>:</w:t>
      </w:r>
      <w:r w:rsidRPr="00A2546A">
        <w:rPr>
          <w:rFonts w:cs="Arial"/>
        </w:rPr>
        <w:t xml:space="preserve"> The purchase price per square meter for condominiums is higher</w:t>
      </w:r>
      <w:r>
        <w:rPr>
          <w:rFonts w:cs="Arial"/>
        </w:rPr>
        <w:t xml:space="preserve"> </w:t>
      </w:r>
      <w:r w:rsidRPr="00A2546A">
        <w:rPr>
          <w:rFonts w:cs="Arial"/>
        </w:rPr>
        <w:t>or the same</w:t>
      </w:r>
      <w:r>
        <w:rPr>
          <w:rFonts w:cs="Arial"/>
        </w:rPr>
        <w:t xml:space="preserve"> </w:t>
      </w:r>
      <w:r w:rsidRPr="00A2546A">
        <w:rPr>
          <w:rFonts w:cs="Arial"/>
        </w:rPr>
        <w:t xml:space="preserve">as the city of Stockholm as </w:t>
      </w:r>
      <w:r>
        <w:rPr>
          <w:rFonts w:cs="Arial"/>
        </w:rPr>
        <w:t xml:space="preserve">a </w:t>
      </w:r>
      <w:r w:rsidRPr="00A2546A">
        <w:rPr>
          <w:rFonts w:cs="Arial"/>
        </w:rPr>
        <w:t xml:space="preserve">whole. The apartments are larger in Hammarby Sjöstad compared to the city average and therefore the prices, calculated per square meter, are slightly lower. Apartments of the same size are more expensive in Hammarby Sjöstad compared to the city average. </w:t>
      </w:r>
    </w:p>
    <w:p w:rsidR="00663FF1" w:rsidRPr="005270DD" w:rsidRDefault="00663FF1" w:rsidP="00663FF1">
      <w:pPr>
        <w:spacing w:line="276" w:lineRule="auto"/>
        <w:rPr>
          <w:rFonts w:cs="Arial"/>
        </w:rPr>
      </w:pPr>
      <w:r>
        <w:rPr>
          <w:rFonts w:cs="Arial"/>
          <w:b/>
        </w:rPr>
        <w:t>Increasing quality of life and human capital</w:t>
      </w:r>
      <w:r w:rsidRPr="00A2546A">
        <w:rPr>
          <w:rFonts w:cs="Arial"/>
          <w:b/>
        </w:rPr>
        <w:t xml:space="preserve">: </w:t>
      </w:r>
      <w:r w:rsidRPr="00A2546A">
        <w:rPr>
          <w:rFonts w:cs="Arial"/>
        </w:rPr>
        <w:t xml:space="preserve">The income level among the residents of Hammarby Sjöstad has increased more than in the city as a whole. The income level is also higher </w:t>
      </w:r>
      <w:r>
        <w:rPr>
          <w:rFonts w:cs="Arial"/>
        </w:rPr>
        <w:t>than</w:t>
      </w:r>
      <w:r w:rsidRPr="00A2546A">
        <w:rPr>
          <w:rFonts w:cs="Arial"/>
        </w:rPr>
        <w:t xml:space="preserve"> </w:t>
      </w:r>
      <w:proofErr w:type="spellStart"/>
      <w:r w:rsidRPr="00A2546A">
        <w:rPr>
          <w:rFonts w:cs="Arial"/>
        </w:rPr>
        <w:t>Södermalm</w:t>
      </w:r>
      <w:proofErr w:type="spellEnd"/>
      <w:r w:rsidRPr="00A2546A">
        <w:rPr>
          <w:rFonts w:cs="Arial"/>
        </w:rPr>
        <w:t xml:space="preserve"> (an </w:t>
      </w:r>
      <w:proofErr w:type="gramStart"/>
      <w:r w:rsidRPr="00A2546A">
        <w:rPr>
          <w:rFonts w:cs="Arial"/>
        </w:rPr>
        <w:t>inner city</w:t>
      </w:r>
      <w:proofErr w:type="gramEnd"/>
      <w:r w:rsidRPr="00A2546A">
        <w:rPr>
          <w:rFonts w:cs="Arial"/>
        </w:rPr>
        <w:t xml:space="preserve"> district near </w:t>
      </w:r>
      <w:proofErr w:type="spellStart"/>
      <w:r w:rsidRPr="00A2546A">
        <w:rPr>
          <w:rFonts w:cs="Arial"/>
        </w:rPr>
        <w:t>Hammarby</w:t>
      </w:r>
      <w:proofErr w:type="spellEnd"/>
      <w:r w:rsidRPr="00A2546A">
        <w:rPr>
          <w:rFonts w:cs="Arial"/>
        </w:rPr>
        <w:t xml:space="preserve">) and </w:t>
      </w:r>
      <w:proofErr w:type="spellStart"/>
      <w:r w:rsidRPr="00A2546A">
        <w:rPr>
          <w:rFonts w:cs="Arial"/>
        </w:rPr>
        <w:t>Liljeholmen</w:t>
      </w:r>
      <w:proofErr w:type="spellEnd"/>
      <w:r w:rsidRPr="00A2546A">
        <w:rPr>
          <w:rFonts w:cs="Arial"/>
        </w:rPr>
        <w:t xml:space="preserve"> (a recent developed neighborhood west of Hammarby). This indicates a high and increasing quality of life in Hammarby Sjöstad. In 2001 and 2002 many began to move into the newly developed neighborhood. </w:t>
      </w:r>
      <w:r>
        <w:rPr>
          <w:rFonts w:cs="Arial"/>
        </w:rPr>
        <w:t>In the years following, t</w:t>
      </w:r>
      <w:r w:rsidRPr="00A2546A">
        <w:rPr>
          <w:rFonts w:cs="Arial"/>
        </w:rPr>
        <w:t xml:space="preserve">he </w:t>
      </w:r>
      <w:r w:rsidRPr="00A2546A">
        <w:rPr>
          <w:rFonts w:cs="Arial"/>
        </w:rPr>
        <w:lastRenderedPageBreak/>
        <w:t>trend has been clearly positive (see table in Appendix 3).</w:t>
      </w:r>
      <w:r>
        <w:rPr>
          <w:rFonts w:cs="Arial"/>
        </w:rPr>
        <w:t xml:space="preserve"> </w:t>
      </w:r>
      <w:r w:rsidRPr="003D79A7">
        <w:rPr>
          <w:rFonts w:cs="Arial"/>
        </w:rPr>
        <w:t>There are many high-income earners in Hammarby Sjöstad – 21 percent ha</w:t>
      </w:r>
      <w:r>
        <w:rPr>
          <w:rFonts w:cs="Arial"/>
        </w:rPr>
        <w:t>ve</w:t>
      </w:r>
      <w:r w:rsidRPr="003D79A7">
        <w:rPr>
          <w:rFonts w:cs="Arial"/>
        </w:rPr>
        <w:t xml:space="preserve"> an income that is twice as high as or higher than the median income in Stockholm</w:t>
      </w:r>
      <w:r>
        <w:rPr>
          <w:rFonts w:cs="Arial"/>
        </w:rPr>
        <w:t xml:space="preserve"> </w:t>
      </w:r>
      <w:r w:rsidRPr="003D79A7">
        <w:rPr>
          <w:rFonts w:cs="Arial"/>
        </w:rPr>
        <w:t>(see Appendix 3)</w:t>
      </w:r>
      <w:r>
        <w:rPr>
          <w:rFonts w:cs="Arial"/>
        </w:rPr>
        <w:t>.</w:t>
      </w:r>
    </w:p>
    <w:p w:rsidR="00663FF1" w:rsidRPr="00F77892" w:rsidRDefault="00663FF1" w:rsidP="00663FF1">
      <w:r>
        <w:rPr>
          <w:b/>
        </w:rPr>
        <w:t xml:space="preserve">Contributed to meeting demand for housing: </w:t>
      </w:r>
      <w:r w:rsidRPr="00F77892">
        <w:t xml:space="preserve">The city's authorities were proactive in their efforts to meet predicted population increases in </w:t>
      </w:r>
      <w:proofErr w:type="gramStart"/>
      <w:r w:rsidRPr="00F77892">
        <w:t>Stockholm, a</w:t>
      </w:r>
      <w:r>
        <w:t>nd</w:t>
      </w:r>
      <w:proofErr w:type="gramEnd"/>
      <w:r>
        <w:t xml:space="preserve"> were thus able to bring high-</w:t>
      </w:r>
      <w:r w:rsidRPr="00F77892">
        <w:t>quality housing onto the market at a time when demand was increasing.</w:t>
      </w:r>
    </w:p>
    <w:p w:rsidR="00663FF1" w:rsidRPr="003D79A7" w:rsidRDefault="00663FF1" w:rsidP="00663FF1">
      <w:r>
        <w:rPr>
          <w:b/>
        </w:rPr>
        <w:t>Low unemployment and high educational attainment</w:t>
      </w:r>
      <w:r w:rsidRPr="00F77892">
        <w:rPr>
          <w:b/>
        </w:rPr>
        <w:t>:</w:t>
      </w:r>
      <w:r w:rsidRPr="00F77892">
        <w:t xml:space="preserve"> The education level is high among the residents in Hammarby Sjöstad. The first residents that moved in to the new developed neighborhood had a high education level, and afterwards that level</w:t>
      </w:r>
      <w:r>
        <w:t>s</w:t>
      </w:r>
      <w:r w:rsidRPr="00F77892">
        <w:t xml:space="preserve"> have been high compared to other areas in Stockholm. The unemployment rate is also very low in H</w:t>
      </w:r>
      <w:r>
        <w:t>ammarby Sjöstad (see tables in A</w:t>
      </w:r>
      <w:r w:rsidRPr="00F77892">
        <w:t>ppendix 4)</w:t>
      </w:r>
      <w:r>
        <w:t>.</w:t>
      </w:r>
    </w:p>
    <w:p w:rsidR="00663FF1" w:rsidRPr="00F77892" w:rsidRDefault="00663FF1" w:rsidP="00663FF1">
      <w:pPr>
        <w:spacing w:line="276" w:lineRule="auto"/>
        <w:ind w:right="1701"/>
        <w:rPr>
          <w:rFonts w:cs="Arial"/>
          <w:sz w:val="18"/>
        </w:rPr>
      </w:pPr>
    </w:p>
    <w:p w:rsidR="00663FF1" w:rsidRDefault="00663FF1" w:rsidP="00663FF1">
      <w:pPr>
        <w:keepNext/>
        <w:spacing w:line="276" w:lineRule="auto"/>
        <w:ind w:left="1134" w:right="1701"/>
      </w:pPr>
      <w:r>
        <w:rPr>
          <w:noProof/>
          <w:lang w:eastAsia="zh-CN"/>
        </w:rPr>
        <w:drawing>
          <wp:inline distT="0" distB="0" distL="0" distR="0" wp14:anchorId="6857E125" wp14:editId="0E6532B2">
            <wp:extent cx="4401185" cy="2328545"/>
            <wp:effectExtent l="0" t="0" r="0" b="0"/>
            <wp:docPr id="136" name="Chart 2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63FF1" w:rsidRPr="003D79A7" w:rsidRDefault="00663FF1" w:rsidP="00663FF1">
      <w:pPr>
        <w:pStyle w:val="Underrubrik"/>
        <w:rPr>
          <w:rFonts w:cs="Arial"/>
          <w:b/>
          <w:sz w:val="18"/>
        </w:rPr>
        <w:sectPr w:rsidR="00663FF1" w:rsidRPr="003D79A7" w:rsidSect="005270DD">
          <w:pgSz w:w="11907" w:h="16839" w:code="9"/>
          <w:pgMar w:top="1440" w:right="1440" w:bottom="1440" w:left="1440" w:header="720" w:footer="720" w:gutter="0"/>
          <w:pgNumType w:start="0"/>
          <w:cols w:space="720"/>
          <w:titlePg/>
          <w:docGrid w:linePitch="360"/>
        </w:sectPr>
      </w:pPr>
      <w:r w:rsidRPr="003D79A7">
        <w:t xml:space="preserve">Figure </w:t>
      </w:r>
      <w:fldSimple w:instr=" SEQ Figure \* ARABIC ">
        <w:r>
          <w:rPr>
            <w:noProof/>
          </w:rPr>
          <w:t>2</w:t>
        </w:r>
      </w:fldSimple>
      <w:r w:rsidRPr="003D79A7">
        <w:t>. Investment in Hammar</w:t>
      </w:r>
      <w:r>
        <w:t>b</w:t>
      </w:r>
      <w:r w:rsidRPr="003D79A7">
        <w:t>y by City versus Developers</w:t>
      </w:r>
    </w:p>
    <w:p w:rsidR="00663FF1" w:rsidRDefault="00663FF1" w:rsidP="00663FF1">
      <w:pPr>
        <w:pStyle w:val="Rubrik2"/>
      </w:pPr>
      <w:bookmarkStart w:id="7" w:name="_Toc433726370"/>
      <w:r>
        <w:lastRenderedPageBreak/>
        <w:t>1.4 Detailed Comparison of 12 Green Guidelines and Hammarby</w:t>
      </w:r>
      <w:bookmarkEnd w:id="7"/>
      <w:r>
        <w:t xml:space="preserve"> </w:t>
      </w:r>
    </w:p>
    <w:p w:rsidR="00663FF1" w:rsidRPr="005E59CC" w:rsidRDefault="00663FF1" w:rsidP="00663FF1">
      <w:pPr>
        <w:pStyle w:val="Underrubrik"/>
      </w:pPr>
      <w:r w:rsidRPr="005E59CC">
        <w:t xml:space="preserve">Table </w:t>
      </w:r>
      <w:fldSimple w:instr=" SEQ Table \* ARABIC ">
        <w:r>
          <w:rPr>
            <w:noProof/>
          </w:rPr>
          <w:t>2</w:t>
        </w:r>
      </w:fldSimple>
      <w:r w:rsidRPr="005E59CC">
        <w:t xml:space="preserve">. </w:t>
      </w:r>
      <w:r w:rsidRPr="005E59CC">
        <w:rPr>
          <w:rStyle w:val="Betoning"/>
        </w:rPr>
        <w:t>Detailed Comparison of 12 Green Guidelines and Hammarby</w:t>
      </w:r>
    </w:p>
    <w:tbl>
      <w:tblPr>
        <w:tblW w:w="0" w:type="auto"/>
        <w:tblLayout w:type="fixed"/>
        <w:tblLook w:val="04A0" w:firstRow="1" w:lastRow="0" w:firstColumn="1" w:lastColumn="0" w:noHBand="0" w:noVBand="1"/>
      </w:tblPr>
      <w:tblGrid>
        <w:gridCol w:w="1458"/>
        <w:gridCol w:w="2767"/>
        <w:gridCol w:w="1890"/>
        <w:gridCol w:w="1800"/>
        <w:gridCol w:w="2430"/>
        <w:gridCol w:w="3600"/>
      </w:tblGrid>
      <w:tr w:rsidR="00663FF1" w:rsidRPr="00F77892" w:rsidTr="006430CE">
        <w:trPr>
          <w:trHeight w:val="773"/>
        </w:trPr>
        <w:tc>
          <w:tcPr>
            <w:tcW w:w="1458" w:type="dxa"/>
            <w:shd w:val="clear" w:color="auto" w:fill="008000"/>
            <w:vAlign w:val="center"/>
          </w:tcPr>
          <w:p w:rsidR="00663FF1" w:rsidRPr="005270DD" w:rsidRDefault="00663FF1" w:rsidP="006430CE">
            <w:pPr>
              <w:spacing w:line="276" w:lineRule="auto"/>
              <w:jc w:val="center"/>
              <w:rPr>
                <w:rFonts w:cs="Arial"/>
                <w:b/>
                <w:color w:val="FFFFFF" w:themeColor="background1"/>
                <w:sz w:val="18"/>
              </w:rPr>
            </w:pPr>
            <w:r w:rsidRPr="005270DD">
              <w:rPr>
                <w:rFonts w:cs="Arial"/>
                <w:b/>
                <w:color w:val="FFFFFF" w:themeColor="background1"/>
                <w:sz w:val="18"/>
              </w:rPr>
              <w:t>Guideline</w:t>
            </w:r>
          </w:p>
        </w:tc>
        <w:tc>
          <w:tcPr>
            <w:tcW w:w="2767" w:type="dxa"/>
            <w:shd w:val="clear" w:color="auto" w:fill="008000"/>
            <w:vAlign w:val="center"/>
          </w:tcPr>
          <w:p w:rsidR="00663FF1" w:rsidRPr="005270DD" w:rsidRDefault="00663FF1" w:rsidP="006430CE">
            <w:pPr>
              <w:spacing w:line="276" w:lineRule="auto"/>
              <w:jc w:val="center"/>
              <w:rPr>
                <w:rFonts w:cs="Arial"/>
                <w:b/>
                <w:color w:val="FFFFFF" w:themeColor="background1"/>
                <w:sz w:val="18"/>
              </w:rPr>
            </w:pPr>
            <w:r w:rsidRPr="005270DD">
              <w:rPr>
                <w:rFonts w:cs="Arial"/>
                <w:b/>
                <w:color w:val="FFFFFF" w:themeColor="background1"/>
                <w:sz w:val="18"/>
              </w:rPr>
              <w:t>Description</w:t>
            </w:r>
          </w:p>
        </w:tc>
        <w:tc>
          <w:tcPr>
            <w:tcW w:w="1890" w:type="dxa"/>
            <w:shd w:val="clear" w:color="auto" w:fill="008000"/>
            <w:vAlign w:val="center"/>
          </w:tcPr>
          <w:p w:rsidR="00663FF1" w:rsidRPr="005270DD" w:rsidRDefault="00663FF1" w:rsidP="006430CE">
            <w:pPr>
              <w:spacing w:line="276" w:lineRule="auto"/>
              <w:jc w:val="center"/>
              <w:rPr>
                <w:rFonts w:cs="Arial"/>
                <w:b/>
                <w:color w:val="FFFFFF" w:themeColor="background1"/>
                <w:sz w:val="18"/>
              </w:rPr>
            </w:pPr>
            <w:r w:rsidRPr="005270DD">
              <w:rPr>
                <w:rFonts w:cs="Arial"/>
                <w:b/>
                <w:color w:val="FFFFFF" w:themeColor="background1"/>
                <w:sz w:val="18"/>
              </w:rPr>
              <w:t>Quantitative benchmarks (if applicable)</w:t>
            </w:r>
          </w:p>
        </w:tc>
        <w:tc>
          <w:tcPr>
            <w:tcW w:w="1800" w:type="dxa"/>
            <w:shd w:val="clear" w:color="auto" w:fill="008000"/>
            <w:vAlign w:val="center"/>
          </w:tcPr>
          <w:p w:rsidR="00663FF1" w:rsidRPr="005270DD" w:rsidRDefault="00663FF1" w:rsidP="006430CE">
            <w:pPr>
              <w:spacing w:line="276" w:lineRule="auto"/>
              <w:jc w:val="center"/>
              <w:rPr>
                <w:rFonts w:cs="Arial"/>
                <w:b/>
                <w:color w:val="FFFFFF" w:themeColor="background1"/>
                <w:sz w:val="18"/>
              </w:rPr>
            </w:pPr>
            <w:r w:rsidRPr="005270DD">
              <w:rPr>
                <w:rFonts w:cs="Arial"/>
                <w:b/>
                <w:color w:val="FFFFFF" w:themeColor="background1"/>
                <w:sz w:val="18"/>
              </w:rPr>
              <w:t>Target level of benchmark</w:t>
            </w:r>
          </w:p>
        </w:tc>
        <w:tc>
          <w:tcPr>
            <w:tcW w:w="2430" w:type="dxa"/>
            <w:shd w:val="clear" w:color="auto" w:fill="008000"/>
            <w:vAlign w:val="center"/>
          </w:tcPr>
          <w:p w:rsidR="00663FF1" w:rsidRPr="005270DD" w:rsidRDefault="00663FF1" w:rsidP="006430CE">
            <w:pPr>
              <w:spacing w:line="276" w:lineRule="auto"/>
              <w:jc w:val="center"/>
              <w:rPr>
                <w:rFonts w:cs="Arial"/>
                <w:b/>
                <w:color w:val="FFFFFF" w:themeColor="background1"/>
                <w:sz w:val="18"/>
              </w:rPr>
            </w:pPr>
            <w:r w:rsidRPr="005270DD">
              <w:rPr>
                <w:rFonts w:cs="Arial"/>
                <w:b/>
                <w:color w:val="FFFFFF" w:themeColor="background1"/>
                <w:sz w:val="18"/>
              </w:rPr>
              <w:t>Hammarby quantitative level of benchmark</w:t>
            </w:r>
          </w:p>
        </w:tc>
        <w:tc>
          <w:tcPr>
            <w:tcW w:w="3600" w:type="dxa"/>
            <w:shd w:val="clear" w:color="auto" w:fill="008000"/>
            <w:vAlign w:val="center"/>
          </w:tcPr>
          <w:p w:rsidR="00663FF1" w:rsidRPr="005270DD" w:rsidRDefault="00663FF1" w:rsidP="006430CE">
            <w:pPr>
              <w:spacing w:line="276" w:lineRule="auto"/>
              <w:jc w:val="center"/>
              <w:rPr>
                <w:rFonts w:cs="Arial"/>
                <w:b/>
                <w:color w:val="FFFFFF" w:themeColor="background1"/>
                <w:sz w:val="18"/>
              </w:rPr>
            </w:pPr>
            <w:r w:rsidRPr="005270DD">
              <w:rPr>
                <w:rFonts w:cs="Arial"/>
                <w:b/>
                <w:color w:val="FFFFFF" w:themeColor="background1"/>
                <w:sz w:val="18"/>
              </w:rPr>
              <w:t>Notes</w:t>
            </w:r>
          </w:p>
        </w:tc>
      </w:tr>
      <w:tr w:rsidR="00663FF1" w:rsidRPr="00F77892" w:rsidTr="006430CE">
        <w:tc>
          <w:tcPr>
            <w:tcW w:w="1458" w:type="dxa"/>
          </w:tcPr>
          <w:p w:rsidR="00663FF1" w:rsidRPr="005270DD" w:rsidRDefault="00663FF1" w:rsidP="006430CE">
            <w:pPr>
              <w:spacing w:line="276" w:lineRule="auto"/>
              <w:rPr>
                <w:rFonts w:cs="Arial"/>
                <w:b/>
                <w:sz w:val="18"/>
              </w:rPr>
            </w:pPr>
            <w:r w:rsidRPr="005270DD">
              <w:rPr>
                <w:rFonts w:cs="Arial"/>
                <w:b/>
                <w:sz w:val="18"/>
              </w:rPr>
              <w:t>1. Urban Growth Boundary</w:t>
            </w:r>
          </w:p>
        </w:tc>
        <w:tc>
          <w:tcPr>
            <w:tcW w:w="2767" w:type="dxa"/>
          </w:tcPr>
          <w:p w:rsidR="00663FF1" w:rsidRPr="005C63A9" w:rsidRDefault="00663FF1" w:rsidP="006430CE">
            <w:pPr>
              <w:spacing w:line="276" w:lineRule="auto"/>
              <w:rPr>
                <w:rFonts w:cs="Arial"/>
                <w:sz w:val="18"/>
              </w:rPr>
            </w:pPr>
            <w:r w:rsidRPr="005C63A9">
              <w:rPr>
                <w:rFonts w:cs="Arial"/>
                <w:sz w:val="18"/>
              </w:rPr>
              <w:t>Every city should establish one</w:t>
            </w:r>
          </w:p>
        </w:tc>
        <w:tc>
          <w:tcPr>
            <w:tcW w:w="1890" w:type="dxa"/>
          </w:tcPr>
          <w:p w:rsidR="00663FF1" w:rsidRPr="005C63A9" w:rsidRDefault="00663FF1" w:rsidP="006430CE">
            <w:pPr>
              <w:spacing w:line="276" w:lineRule="auto"/>
              <w:rPr>
                <w:rFonts w:cs="Arial"/>
                <w:sz w:val="18"/>
              </w:rPr>
            </w:pPr>
            <w:r w:rsidRPr="005C63A9">
              <w:rPr>
                <w:rFonts w:cs="Arial"/>
                <w:sz w:val="18"/>
              </w:rPr>
              <w:t>NA (Not applicable)</w:t>
            </w:r>
          </w:p>
        </w:tc>
        <w:tc>
          <w:tcPr>
            <w:tcW w:w="1800" w:type="dxa"/>
          </w:tcPr>
          <w:p w:rsidR="00663FF1" w:rsidRPr="005C63A9" w:rsidRDefault="00663FF1" w:rsidP="006430CE">
            <w:pPr>
              <w:spacing w:line="276" w:lineRule="auto"/>
              <w:rPr>
                <w:rFonts w:cs="Arial"/>
                <w:sz w:val="18"/>
              </w:rPr>
            </w:pPr>
            <w:r w:rsidRPr="005C63A9">
              <w:rPr>
                <w:rFonts w:cs="Arial"/>
                <w:sz w:val="18"/>
              </w:rPr>
              <w:t>NA</w:t>
            </w:r>
          </w:p>
        </w:tc>
        <w:tc>
          <w:tcPr>
            <w:tcW w:w="2430" w:type="dxa"/>
          </w:tcPr>
          <w:p w:rsidR="00663FF1" w:rsidRPr="005C63A9" w:rsidRDefault="00663FF1" w:rsidP="006430CE">
            <w:pPr>
              <w:spacing w:line="276" w:lineRule="auto"/>
              <w:rPr>
                <w:rFonts w:cs="Arial"/>
                <w:sz w:val="18"/>
              </w:rPr>
            </w:pPr>
            <w:r>
              <w:rPr>
                <w:rFonts w:cs="Arial"/>
                <w:sz w:val="18"/>
              </w:rPr>
              <w:t xml:space="preserve">Yes - Hammarby is built within the urban growth boundary of Stockholm. </w:t>
            </w:r>
          </w:p>
        </w:tc>
        <w:tc>
          <w:tcPr>
            <w:tcW w:w="3600" w:type="dxa"/>
          </w:tcPr>
          <w:p w:rsidR="00663FF1" w:rsidRPr="005C63A9" w:rsidRDefault="00663FF1" w:rsidP="006430CE">
            <w:pPr>
              <w:spacing w:line="276" w:lineRule="auto"/>
              <w:rPr>
                <w:rFonts w:cs="Arial"/>
                <w:sz w:val="18"/>
              </w:rPr>
            </w:pPr>
            <w:r w:rsidRPr="005C63A9">
              <w:rPr>
                <w:rFonts w:cs="Arial"/>
                <w:sz w:val="18"/>
              </w:rPr>
              <w:t>Hammarby is an infill development that seeks to promote compact growth within existing city limits</w:t>
            </w:r>
            <w:r>
              <w:rPr>
                <w:rFonts w:cs="Arial"/>
                <w:sz w:val="18"/>
              </w:rPr>
              <w:t>.</w:t>
            </w:r>
          </w:p>
        </w:tc>
      </w:tr>
      <w:tr w:rsidR="00663FF1" w:rsidRPr="00F77892" w:rsidTr="006430CE">
        <w:tc>
          <w:tcPr>
            <w:tcW w:w="1458" w:type="dxa"/>
            <w:vMerge w:val="restart"/>
          </w:tcPr>
          <w:p w:rsidR="00663FF1" w:rsidRPr="005270DD" w:rsidRDefault="00663FF1" w:rsidP="006430CE">
            <w:pPr>
              <w:spacing w:line="276" w:lineRule="auto"/>
              <w:rPr>
                <w:rFonts w:cs="Arial"/>
                <w:b/>
                <w:sz w:val="18"/>
              </w:rPr>
            </w:pPr>
            <w:r w:rsidRPr="005270DD">
              <w:rPr>
                <w:rFonts w:cs="Arial"/>
                <w:b/>
                <w:sz w:val="18"/>
              </w:rPr>
              <w:t>2. Transit-Oriented Development</w:t>
            </w:r>
          </w:p>
          <w:p w:rsidR="00663FF1" w:rsidRPr="005270DD" w:rsidRDefault="00663FF1" w:rsidP="006430CE">
            <w:pPr>
              <w:spacing w:line="276" w:lineRule="auto"/>
              <w:rPr>
                <w:rFonts w:cs="Arial"/>
                <w:b/>
                <w:sz w:val="18"/>
              </w:rPr>
            </w:pPr>
          </w:p>
        </w:tc>
        <w:tc>
          <w:tcPr>
            <w:tcW w:w="2767" w:type="dxa"/>
          </w:tcPr>
          <w:p w:rsidR="00663FF1" w:rsidRPr="005C63A9" w:rsidRDefault="00663FF1" w:rsidP="006430CE">
            <w:pPr>
              <w:spacing w:line="276" w:lineRule="auto"/>
              <w:rPr>
                <w:rFonts w:cs="Arial"/>
                <w:sz w:val="18"/>
              </w:rPr>
            </w:pPr>
            <w:r w:rsidRPr="005C63A9">
              <w:rPr>
                <w:rFonts w:cs="Arial"/>
                <w:sz w:val="18"/>
              </w:rPr>
              <w:t>Emphasize development in TOD areas, which are defined as those within 500 m of</w:t>
            </w:r>
            <w:r>
              <w:rPr>
                <w:rFonts w:cs="Arial"/>
                <w:sz w:val="18"/>
              </w:rPr>
              <w:t xml:space="preserve"> a</w:t>
            </w:r>
            <w:r w:rsidRPr="005C63A9">
              <w:rPr>
                <w:rFonts w:cs="Arial"/>
                <w:sz w:val="18"/>
              </w:rPr>
              <w:t xml:space="preserve"> transit stop (or within 800 m of major transit stations, such as metro or Bus Rapid Transit)</w:t>
            </w:r>
          </w:p>
        </w:tc>
        <w:tc>
          <w:tcPr>
            <w:tcW w:w="1890" w:type="dxa"/>
          </w:tcPr>
          <w:p w:rsidR="00663FF1" w:rsidRPr="005C63A9" w:rsidRDefault="00663FF1" w:rsidP="006430CE">
            <w:pPr>
              <w:spacing w:line="276" w:lineRule="auto"/>
              <w:rPr>
                <w:rFonts w:cs="Arial"/>
                <w:sz w:val="18"/>
              </w:rPr>
            </w:pPr>
            <w:r w:rsidRPr="005C63A9">
              <w:rPr>
                <w:rFonts w:cs="Arial"/>
                <w:sz w:val="18"/>
              </w:rPr>
              <w:t>% residents within TOD area</w:t>
            </w:r>
          </w:p>
        </w:tc>
        <w:tc>
          <w:tcPr>
            <w:tcW w:w="1800" w:type="dxa"/>
          </w:tcPr>
          <w:p w:rsidR="00663FF1" w:rsidRPr="005C63A9" w:rsidRDefault="00663FF1" w:rsidP="006430CE">
            <w:pPr>
              <w:spacing w:line="276" w:lineRule="auto"/>
              <w:rPr>
                <w:rFonts w:cs="Arial"/>
                <w:sz w:val="18"/>
              </w:rPr>
            </w:pPr>
            <w:r w:rsidRPr="005C63A9">
              <w:rPr>
                <w:rFonts w:cs="Arial"/>
                <w:sz w:val="18"/>
              </w:rPr>
              <w:t>70% for big cities</w:t>
            </w:r>
          </w:p>
        </w:tc>
        <w:tc>
          <w:tcPr>
            <w:tcW w:w="2430" w:type="dxa"/>
          </w:tcPr>
          <w:p w:rsidR="00663FF1" w:rsidRPr="005C63A9" w:rsidRDefault="00663FF1" w:rsidP="006430CE">
            <w:pPr>
              <w:spacing w:line="276" w:lineRule="auto"/>
              <w:rPr>
                <w:rFonts w:cs="Arial"/>
                <w:sz w:val="18"/>
              </w:rPr>
            </w:pPr>
            <w:r w:rsidRPr="005C63A9">
              <w:rPr>
                <w:rFonts w:cs="Arial"/>
                <w:sz w:val="18"/>
              </w:rPr>
              <w:t xml:space="preserve">100% </w:t>
            </w:r>
          </w:p>
        </w:tc>
        <w:tc>
          <w:tcPr>
            <w:tcW w:w="3600" w:type="dxa"/>
          </w:tcPr>
          <w:p w:rsidR="00663FF1" w:rsidRPr="005C63A9" w:rsidRDefault="00663FF1" w:rsidP="006430CE">
            <w:pPr>
              <w:spacing w:line="276" w:lineRule="auto"/>
              <w:rPr>
                <w:rFonts w:cs="Arial"/>
                <w:sz w:val="18"/>
              </w:rPr>
            </w:pPr>
          </w:p>
        </w:tc>
      </w:tr>
      <w:tr w:rsidR="00663FF1" w:rsidRPr="00F77892" w:rsidTr="006430CE">
        <w:tc>
          <w:tcPr>
            <w:tcW w:w="1458" w:type="dxa"/>
            <w:vMerge/>
          </w:tcPr>
          <w:p w:rsidR="00663FF1" w:rsidRPr="005270DD" w:rsidRDefault="00663FF1" w:rsidP="006430CE">
            <w:pPr>
              <w:spacing w:line="276" w:lineRule="auto"/>
              <w:rPr>
                <w:rFonts w:cs="Arial"/>
                <w:b/>
                <w:sz w:val="18"/>
              </w:rPr>
            </w:pPr>
          </w:p>
        </w:tc>
        <w:tc>
          <w:tcPr>
            <w:tcW w:w="2767" w:type="dxa"/>
          </w:tcPr>
          <w:p w:rsidR="00663FF1" w:rsidRPr="005C63A9" w:rsidRDefault="00663FF1" w:rsidP="006430CE">
            <w:pPr>
              <w:spacing w:line="276" w:lineRule="auto"/>
              <w:rPr>
                <w:rFonts w:cs="Arial"/>
                <w:sz w:val="18"/>
              </w:rPr>
            </w:pPr>
            <w:r w:rsidRPr="005C63A9">
              <w:rPr>
                <w:rFonts w:cs="Arial"/>
                <w:sz w:val="18"/>
              </w:rPr>
              <w:t>Floor Area Ratio (FAR) of buildings in TOD area should</w:t>
            </w:r>
            <w:r>
              <w:rPr>
                <w:rFonts w:cs="Arial"/>
                <w:sz w:val="18"/>
              </w:rPr>
              <w:t xml:space="preserve"> be</w:t>
            </w:r>
            <w:r w:rsidRPr="005C63A9">
              <w:rPr>
                <w:rFonts w:cs="Arial"/>
                <w:sz w:val="18"/>
              </w:rPr>
              <w:t xml:space="preserve"> higher than overall district average.  </w:t>
            </w:r>
          </w:p>
        </w:tc>
        <w:tc>
          <w:tcPr>
            <w:tcW w:w="1890" w:type="dxa"/>
          </w:tcPr>
          <w:p w:rsidR="00663FF1" w:rsidRPr="005C63A9" w:rsidRDefault="00663FF1" w:rsidP="006430CE">
            <w:pPr>
              <w:spacing w:line="276" w:lineRule="auto"/>
              <w:rPr>
                <w:rFonts w:cs="Arial"/>
                <w:sz w:val="18"/>
              </w:rPr>
            </w:pPr>
            <w:r w:rsidRPr="005C63A9">
              <w:rPr>
                <w:rFonts w:cs="Arial"/>
                <w:sz w:val="18"/>
              </w:rPr>
              <w:t>Ratio of TOD FAR to overall district level FAR</w:t>
            </w:r>
          </w:p>
        </w:tc>
        <w:tc>
          <w:tcPr>
            <w:tcW w:w="1800" w:type="dxa"/>
          </w:tcPr>
          <w:p w:rsidR="00663FF1" w:rsidRPr="005C63A9" w:rsidRDefault="00663FF1" w:rsidP="006430CE">
            <w:pPr>
              <w:spacing w:line="276" w:lineRule="auto"/>
              <w:rPr>
                <w:rFonts w:cs="Arial"/>
                <w:sz w:val="18"/>
              </w:rPr>
            </w:pPr>
            <w:r w:rsidRPr="005C63A9">
              <w:rPr>
                <w:rFonts w:cs="Arial"/>
                <w:sz w:val="18"/>
              </w:rPr>
              <w:t xml:space="preserve"> 2x</w:t>
            </w:r>
          </w:p>
        </w:tc>
        <w:tc>
          <w:tcPr>
            <w:tcW w:w="2430" w:type="dxa"/>
          </w:tcPr>
          <w:p w:rsidR="00663FF1" w:rsidRPr="005C63A9" w:rsidRDefault="00663FF1" w:rsidP="006430CE">
            <w:pPr>
              <w:spacing w:line="276" w:lineRule="auto"/>
              <w:rPr>
                <w:rFonts w:cs="Arial"/>
                <w:sz w:val="18"/>
              </w:rPr>
            </w:pPr>
            <w:r w:rsidRPr="005C63A9">
              <w:rPr>
                <w:rFonts w:cs="Arial"/>
                <w:sz w:val="18"/>
              </w:rPr>
              <w:t>NA</w:t>
            </w:r>
          </w:p>
        </w:tc>
        <w:tc>
          <w:tcPr>
            <w:tcW w:w="3600" w:type="dxa"/>
          </w:tcPr>
          <w:p w:rsidR="00663FF1" w:rsidRPr="005C63A9" w:rsidRDefault="00663FF1" w:rsidP="006430CE">
            <w:pPr>
              <w:spacing w:line="276" w:lineRule="auto"/>
              <w:rPr>
                <w:rFonts w:cs="Arial"/>
                <w:sz w:val="18"/>
              </w:rPr>
            </w:pPr>
            <w:r w:rsidRPr="005C63A9">
              <w:rPr>
                <w:rFonts w:cs="Arial"/>
                <w:sz w:val="18"/>
              </w:rPr>
              <w:t>The FAR ranges from 1</w:t>
            </w:r>
            <w:r>
              <w:rPr>
                <w:rFonts w:cs="Arial"/>
                <w:sz w:val="18"/>
              </w:rPr>
              <w:t>.</w:t>
            </w:r>
            <w:r w:rsidRPr="005C63A9">
              <w:rPr>
                <w:rFonts w:cs="Arial"/>
                <w:sz w:val="18"/>
              </w:rPr>
              <w:t>2-2</w:t>
            </w:r>
            <w:r>
              <w:rPr>
                <w:rFonts w:cs="Arial"/>
                <w:sz w:val="18"/>
              </w:rPr>
              <w:t>.</w:t>
            </w:r>
            <w:r w:rsidRPr="005C63A9">
              <w:rPr>
                <w:rFonts w:cs="Arial"/>
                <w:sz w:val="18"/>
              </w:rPr>
              <w:t xml:space="preserve">3 for the </w:t>
            </w:r>
            <w:r>
              <w:rPr>
                <w:rFonts w:cs="Arial"/>
                <w:sz w:val="18"/>
              </w:rPr>
              <w:t xml:space="preserve">entire district of Hammarby, which is a TOD district. </w:t>
            </w:r>
          </w:p>
        </w:tc>
      </w:tr>
      <w:tr w:rsidR="00663FF1" w:rsidRPr="00F77892" w:rsidTr="006430CE">
        <w:tc>
          <w:tcPr>
            <w:tcW w:w="1458" w:type="dxa"/>
            <w:vMerge w:val="restart"/>
          </w:tcPr>
          <w:p w:rsidR="00663FF1" w:rsidRPr="005270DD" w:rsidRDefault="00663FF1" w:rsidP="006430CE">
            <w:pPr>
              <w:spacing w:line="276" w:lineRule="auto"/>
              <w:rPr>
                <w:rFonts w:cs="Arial"/>
                <w:b/>
                <w:sz w:val="18"/>
              </w:rPr>
            </w:pPr>
            <w:r w:rsidRPr="005270DD">
              <w:rPr>
                <w:rFonts w:cs="Arial"/>
                <w:b/>
                <w:sz w:val="18"/>
              </w:rPr>
              <w:t xml:space="preserve">3. Mixed-use </w:t>
            </w:r>
          </w:p>
          <w:p w:rsidR="00663FF1" w:rsidRPr="005270DD" w:rsidRDefault="00663FF1" w:rsidP="006430CE">
            <w:pPr>
              <w:spacing w:line="276" w:lineRule="auto"/>
              <w:rPr>
                <w:rFonts w:cs="Arial"/>
                <w:b/>
                <w:sz w:val="18"/>
              </w:rPr>
            </w:pPr>
          </w:p>
        </w:tc>
        <w:tc>
          <w:tcPr>
            <w:tcW w:w="2767" w:type="dxa"/>
          </w:tcPr>
          <w:p w:rsidR="00663FF1" w:rsidRPr="005C63A9" w:rsidRDefault="00663FF1" w:rsidP="006430CE">
            <w:pPr>
              <w:autoSpaceDE w:val="0"/>
              <w:autoSpaceDN w:val="0"/>
              <w:adjustRightInd w:val="0"/>
              <w:spacing w:line="276" w:lineRule="auto"/>
              <w:rPr>
                <w:rFonts w:cs="Arial"/>
                <w:sz w:val="18"/>
              </w:rPr>
            </w:pPr>
            <w:r w:rsidRPr="005C63A9">
              <w:rPr>
                <w:rFonts w:cs="Arial"/>
                <w:sz w:val="18"/>
              </w:rPr>
              <w:t>All residential units should be</w:t>
            </w:r>
          </w:p>
          <w:p w:rsidR="00663FF1" w:rsidRPr="005C63A9" w:rsidRDefault="00663FF1" w:rsidP="006430CE">
            <w:pPr>
              <w:autoSpaceDE w:val="0"/>
              <w:autoSpaceDN w:val="0"/>
              <w:adjustRightInd w:val="0"/>
              <w:spacing w:line="276" w:lineRule="auto"/>
              <w:rPr>
                <w:rFonts w:cs="Arial"/>
                <w:sz w:val="18"/>
              </w:rPr>
            </w:pPr>
            <w:r w:rsidRPr="005C63A9">
              <w:rPr>
                <w:rFonts w:cs="Arial"/>
                <w:sz w:val="18"/>
              </w:rPr>
              <w:t>close to at least six kinds of</w:t>
            </w:r>
          </w:p>
          <w:p w:rsidR="00663FF1" w:rsidRPr="005C63A9" w:rsidRDefault="00663FF1" w:rsidP="006430CE">
            <w:pPr>
              <w:autoSpaceDE w:val="0"/>
              <w:autoSpaceDN w:val="0"/>
              <w:adjustRightInd w:val="0"/>
              <w:spacing w:line="276" w:lineRule="auto"/>
              <w:rPr>
                <w:rFonts w:cs="Arial"/>
                <w:sz w:val="18"/>
              </w:rPr>
            </w:pPr>
            <w:r w:rsidRPr="005C63A9">
              <w:rPr>
                <w:rFonts w:cs="Arial"/>
                <w:sz w:val="18"/>
              </w:rPr>
              <w:t xml:space="preserve">amenities within </w:t>
            </w:r>
            <w:r>
              <w:rPr>
                <w:rFonts w:cs="Arial"/>
                <w:sz w:val="18"/>
              </w:rPr>
              <w:t xml:space="preserve">a </w:t>
            </w:r>
            <w:r w:rsidRPr="005C63A9">
              <w:rPr>
                <w:rFonts w:cs="Arial"/>
                <w:sz w:val="18"/>
              </w:rPr>
              <w:t>500</w:t>
            </w:r>
            <w:r>
              <w:rPr>
                <w:rFonts w:cs="Arial"/>
                <w:sz w:val="18"/>
              </w:rPr>
              <w:t xml:space="preserve"> </w:t>
            </w:r>
            <w:r w:rsidRPr="005C63A9">
              <w:rPr>
                <w:rFonts w:cs="Arial"/>
                <w:sz w:val="18"/>
              </w:rPr>
              <w:t>m</w:t>
            </w:r>
          </w:p>
          <w:p w:rsidR="00663FF1" w:rsidRPr="005C63A9" w:rsidRDefault="00663FF1" w:rsidP="006430CE">
            <w:pPr>
              <w:autoSpaceDE w:val="0"/>
              <w:autoSpaceDN w:val="0"/>
              <w:adjustRightInd w:val="0"/>
              <w:spacing w:line="276" w:lineRule="auto"/>
              <w:rPr>
                <w:rFonts w:cs="Arial"/>
                <w:sz w:val="18"/>
              </w:rPr>
            </w:pPr>
            <w:r w:rsidRPr="005C63A9">
              <w:rPr>
                <w:rFonts w:cs="Arial"/>
                <w:sz w:val="18"/>
              </w:rPr>
              <w:t>radius of building entrance.</w:t>
            </w:r>
          </w:p>
        </w:tc>
        <w:tc>
          <w:tcPr>
            <w:tcW w:w="1890" w:type="dxa"/>
          </w:tcPr>
          <w:p w:rsidR="00663FF1" w:rsidRPr="005C63A9" w:rsidRDefault="00663FF1" w:rsidP="006430CE">
            <w:pPr>
              <w:spacing w:line="276" w:lineRule="auto"/>
              <w:rPr>
                <w:rFonts w:cs="Arial"/>
                <w:sz w:val="18"/>
              </w:rPr>
            </w:pPr>
            <w:r w:rsidRPr="005C63A9">
              <w:rPr>
                <w:rFonts w:cs="Arial"/>
                <w:sz w:val="18"/>
              </w:rPr>
              <w:t>% of residential units within 500 m of these amenities</w:t>
            </w:r>
          </w:p>
        </w:tc>
        <w:tc>
          <w:tcPr>
            <w:tcW w:w="1800" w:type="dxa"/>
          </w:tcPr>
          <w:p w:rsidR="00663FF1" w:rsidRPr="005C63A9" w:rsidRDefault="00663FF1" w:rsidP="006430CE">
            <w:pPr>
              <w:spacing w:line="276" w:lineRule="auto"/>
              <w:rPr>
                <w:rFonts w:cs="Arial"/>
                <w:sz w:val="18"/>
              </w:rPr>
            </w:pPr>
            <w:r w:rsidRPr="005C63A9">
              <w:rPr>
                <w:rFonts w:cs="Arial"/>
                <w:sz w:val="18"/>
              </w:rPr>
              <w:t>100%</w:t>
            </w:r>
          </w:p>
        </w:tc>
        <w:tc>
          <w:tcPr>
            <w:tcW w:w="2430" w:type="dxa"/>
          </w:tcPr>
          <w:p w:rsidR="00663FF1" w:rsidRPr="005C63A9" w:rsidRDefault="00663FF1" w:rsidP="006430CE">
            <w:pPr>
              <w:spacing w:line="276" w:lineRule="auto"/>
              <w:rPr>
                <w:rFonts w:cs="Arial"/>
                <w:sz w:val="18"/>
              </w:rPr>
            </w:pPr>
            <w:r w:rsidRPr="005C63A9">
              <w:rPr>
                <w:rFonts w:cs="Arial"/>
                <w:sz w:val="18"/>
              </w:rPr>
              <w:t>100%</w:t>
            </w:r>
          </w:p>
        </w:tc>
        <w:tc>
          <w:tcPr>
            <w:tcW w:w="3600" w:type="dxa"/>
          </w:tcPr>
          <w:p w:rsidR="00663FF1" w:rsidRPr="005C63A9" w:rsidRDefault="00663FF1" w:rsidP="006430CE">
            <w:pPr>
              <w:spacing w:line="276" w:lineRule="auto"/>
              <w:rPr>
                <w:rFonts w:cs="Arial"/>
                <w:sz w:val="18"/>
              </w:rPr>
            </w:pPr>
          </w:p>
        </w:tc>
      </w:tr>
      <w:tr w:rsidR="00663FF1" w:rsidRPr="00F77892" w:rsidTr="006430CE">
        <w:trPr>
          <w:trHeight w:val="1025"/>
        </w:trPr>
        <w:tc>
          <w:tcPr>
            <w:tcW w:w="1458" w:type="dxa"/>
            <w:vMerge/>
          </w:tcPr>
          <w:p w:rsidR="00663FF1" w:rsidRPr="005270DD" w:rsidRDefault="00663FF1" w:rsidP="006430CE">
            <w:pPr>
              <w:spacing w:line="276" w:lineRule="auto"/>
              <w:rPr>
                <w:rFonts w:cs="Arial"/>
                <w:b/>
                <w:sz w:val="18"/>
              </w:rPr>
            </w:pPr>
          </w:p>
        </w:tc>
        <w:tc>
          <w:tcPr>
            <w:tcW w:w="2767" w:type="dxa"/>
          </w:tcPr>
          <w:p w:rsidR="00663FF1" w:rsidRPr="005C63A9" w:rsidRDefault="00663FF1" w:rsidP="006430CE">
            <w:pPr>
              <w:autoSpaceDE w:val="0"/>
              <w:autoSpaceDN w:val="0"/>
              <w:adjustRightInd w:val="0"/>
              <w:spacing w:line="276" w:lineRule="auto"/>
              <w:rPr>
                <w:rFonts w:cs="Arial"/>
                <w:sz w:val="18"/>
              </w:rPr>
            </w:pPr>
            <w:r w:rsidRPr="005C63A9">
              <w:rPr>
                <w:rFonts w:cs="Arial"/>
                <w:sz w:val="18"/>
              </w:rPr>
              <w:t xml:space="preserve">Achieve a balance of employment and local residential population. </w:t>
            </w:r>
          </w:p>
        </w:tc>
        <w:tc>
          <w:tcPr>
            <w:tcW w:w="1890" w:type="dxa"/>
          </w:tcPr>
          <w:p w:rsidR="00663FF1" w:rsidRPr="005C63A9" w:rsidRDefault="00663FF1" w:rsidP="006430CE">
            <w:pPr>
              <w:autoSpaceDE w:val="0"/>
              <w:autoSpaceDN w:val="0"/>
              <w:adjustRightInd w:val="0"/>
              <w:spacing w:line="276" w:lineRule="auto"/>
              <w:rPr>
                <w:rFonts w:cs="Arial"/>
                <w:sz w:val="18"/>
              </w:rPr>
            </w:pPr>
            <w:r w:rsidRPr="005C63A9">
              <w:rPr>
                <w:rFonts w:cs="Arial"/>
                <w:sz w:val="18"/>
              </w:rPr>
              <w:t>The job to resident ratio (the number of</w:t>
            </w:r>
          </w:p>
          <w:p w:rsidR="00663FF1" w:rsidRPr="005C63A9" w:rsidRDefault="00663FF1" w:rsidP="006430CE">
            <w:pPr>
              <w:autoSpaceDE w:val="0"/>
              <w:autoSpaceDN w:val="0"/>
              <w:adjustRightInd w:val="0"/>
              <w:spacing w:line="276" w:lineRule="auto"/>
              <w:rPr>
                <w:rFonts w:cs="Arial"/>
                <w:sz w:val="18"/>
              </w:rPr>
            </w:pPr>
            <w:r w:rsidRPr="005C63A9">
              <w:rPr>
                <w:rFonts w:cs="Arial"/>
                <w:sz w:val="18"/>
              </w:rPr>
              <w:t>people employed divided by</w:t>
            </w:r>
          </w:p>
          <w:p w:rsidR="00663FF1" w:rsidRPr="005C63A9" w:rsidRDefault="00663FF1" w:rsidP="006430CE">
            <w:pPr>
              <w:autoSpaceDE w:val="0"/>
              <w:autoSpaceDN w:val="0"/>
              <w:adjustRightInd w:val="0"/>
              <w:spacing w:line="276" w:lineRule="auto"/>
              <w:rPr>
                <w:rFonts w:cs="Arial"/>
                <w:sz w:val="18"/>
              </w:rPr>
            </w:pPr>
            <w:r w:rsidRPr="005C63A9">
              <w:rPr>
                <w:rFonts w:cs="Arial"/>
                <w:sz w:val="18"/>
              </w:rPr>
              <w:lastRenderedPageBreak/>
              <w:t>the number of residents)</w:t>
            </w:r>
          </w:p>
        </w:tc>
        <w:tc>
          <w:tcPr>
            <w:tcW w:w="1800" w:type="dxa"/>
          </w:tcPr>
          <w:p w:rsidR="00663FF1" w:rsidRPr="005C63A9" w:rsidRDefault="00663FF1" w:rsidP="006430CE">
            <w:pPr>
              <w:spacing w:line="276" w:lineRule="auto"/>
              <w:rPr>
                <w:rFonts w:cs="Arial"/>
                <w:sz w:val="18"/>
              </w:rPr>
            </w:pPr>
            <w:r w:rsidRPr="005C63A9">
              <w:rPr>
                <w:rFonts w:cs="Arial"/>
                <w:sz w:val="18"/>
              </w:rPr>
              <w:lastRenderedPageBreak/>
              <w:t>Should be between 0.5 and 0.7</w:t>
            </w:r>
          </w:p>
        </w:tc>
        <w:tc>
          <w:tcPr>
            <w:tcW w:w="2430" w:type="dxa"/>
          </w:tcPr>
          <w:p w:rsidR="00663FF1" w:rsidRPr="005C63A9" w:rsidRDefault="00663FF1" w:rsidP="00663FF1">
            <w:pPr>
              <w:pStyle w:val="Liststycke"/>
              <w:numPr>
                <w:ilvl w:val="0"/>
                <w:numId w:val="3"/>
              </w:numPr>
              <w:pBdr>
                <w:left w:val="none" w:sz="0" w:space="0" w:color="auto"/>
              </w:pBdr>
              <w:tabs>
                <w:tab w:val="clear" w:pos="0"/>
                <w:tab w:val="clear" w:pos="567"/>
                <w:tab w:val="clear" w:pos="1276"/>
                <w:tab w:val="clear" w:pos="2552"/>
                <w:tab w:val="clear" w:pos="3828"/>
                <w:tab w:val="clear" w:pos="5103"/>
                <w:tab w:val="clear" w:pos="6379"/>
                <w:tab w:val="clear" w:pos="8364"/>
              </w:tabs>
              <w:spacing w:line="276" w:lineRule="auto"/>
              <w:rPr>
                <w:rFonts w:cs="Arial"/>
                <w:sz w:val="18"/>
              </w:rPr>
            </w:pPr>
            <w:r w:rsidRPr="005C63A9">
              <w:rPr>
                <w:rFonts w:cs="Arial"/>
                <w:sz w:val="18"/>
              </w:rPr>
              <w:t>0.54 (today)</w:t>
            </w:r>
          </w:p>
          <w:p w:rsidR="00663FF1" w:rsidRPr="005C63A9" w:rsidRDefault="00663FF1" w:rsidP="00663FF1">
            <w:pPr>
              <w:pStyle w:val="Liststycke"/>
              <w:numPr>
                <w:ilvl w:val="0"/>
                <w:numId w:val="3"/>
              </w:numPr>
              <w:pBdr>
                <w:left w:val="none" w:sz="0" w:space="0" w:color="auto"/>
              </w:pBdr>
              <w:tabs>
                <w:tab w:val="clear" w:pos="0"/>
                <w:tab w:val="clear" w:pos="360"/>
                <w:tab w:val="clear" w:pos="567"/>
                <w:tab w:val="clear" w:pos="1276"/>
                <w:tab w:val="clear" w:pos="2552"/>
                <w:tab w:val="clear" w:pos="3828"/>
                <w:tab w:val="clear" w:pos="5103"/>
                <w:tab w:val="clear" w:pos="6379"/>
                <w:tab w:val="clear" w:pos="8364"/>
              </w:tabs>
              <w:spacing w:line="276" w:lineRule="auto"/>
              <w:ind w:left="252" w:hanging="252"/>
              <w:rPr>
                <w:rFonts w:cs="Arial"/>
                <w:sz w:val="18"/>
              </w:rPr>
            </w:pPr>
            <w:r w:rsidRPr="005C63A9">
              <w:rPr>
                <w:rFonts w:cs="Arial"/>
                <w:sz w:val="18"/>
              </w:rPr>
              <w:t>0.40</w:t>
            </w:r>
          </w:p>
          <w:p w:rsidR="00663FF1" w:rsidRPr="005C63A9" w:rsidRDefault="00663FF1" w:rsidP="006430CE">
            <w:pPr>
              <w:pStyle w:val="Liststycke"/>
              <w:tabs>
                <w:tab w:val="clear" w:pos="0"/>
                <w:tab w:val="clear" w:pos="567"/>
                <w:tab w:val="clear" w:pos="1276"/>
                <w:tab w:val="clear" w:pos="2552"/>
                <w:tab w:val="clear" w:pos="3828"/>
                <w:tab w:val="clear" w:pos="5103"/>
                <w:tab w:val="clear" w:pos="6379"/>
                <w:tab w:val="clear" w:pos="8364"/>
              </w:tabs>
              <w:spacing w:line="276" w:lineRule="auto"/>
              <w:ind w:left="252"/>
              <w:rPr>
                <w:rFonts w:cs="Arial"/>
                <w:sz w:val="18"/>
              </w:rPr>
            </w:pPr>
            <w:r w:rsidRPr="005C63A9">
              <w:rPr>
                <w:rFonts w:cs="Arial"/>
                <w:sz w:val="18"/>
              </w:rPr>
              <w:t xml:space="preserve">(expected in 2025) </w:t>
            </w:r>
          </w:p>
        </w:tc>
        <w:tc>
          <w:tcPr>
            <w:tcW w:w="3600" w:type="dxa"/>
          </w:tcPr>
          <w:p w:rsidR="00663FF1" w:rsidRPr="005C63A9" w:rsidRDefault="00663FF1" w:rsidP="006430CE">
            <w:pPr>
              <w:spacing w:line="276" w:lineRule="auto"/>
              <w:rPr>
                <w:rFonts w:cs="Arial"/>
                <w:sz w:val="18"/>
              </w:rPr>
            </w:pPr>
            <w:r w:rsidRPr="005C63A9">
              <w:rPr>
                <w:rFonts w:cs="Arial"/>
                <w:sz w:val="18"/>
              </w:rPr>
              <w:t xml:space="preserve">20,400 residents currently and 11,000 </w:t>
            </w:r>
            <w:proofErr w:type="gramStart"/>
            <w:r w:rsidRPr="005C63A9">
              <w:rPr>
                <w:rFonts w:cs="Arial"/>
                <w:sz w:val="18"/>
              </w:rPr>
              <w:t>jobs  (</w:t>
            </w:r>
            <w:proofErr w:type="gramEnd"/>
            <w:r w:rsidRPr="005C63A9">
              <w:rPr>
                <w:rFonts w:cs="Arial"/>
                <w:sz w:val="18"/>
              </w:rPr>
              <w:t>27,500 residents at completion in year 2025)</w:t>
            </w:r>
          </w:p>
          <w:p w:rsidR="00663FF1" w:rsidRPr="005C63A9" w:rsidRDefault="00663FF1" w:rsidP="006430CE">
            <w:pPr>
              <w:spacing w:line="276" w:lineRule="auto"/>
              <w:rPr>
                <w:rFonts w:cs="Arial"/>
                <w:sz w:val="18"/>
              </w:rPr>
            </w:pPr>
          </w:p>
        </w:tc>
      </w:tr>
      <w:tr w:rsidR="00663FF1" w:rsidRPr="00F77892" w:rsidTr="006430CE">
        <w:tc>
          <w:tcPr>
            <w:tcW w:w="1458" w:type="dxa"/>
          </w:tcPr>
          <w:p w:rsidR="00663FF1" w:rsidRPr="005270DD" w:rsidRDefault="00663FF1" w:rsidP="006430CE">
            <w:pPr>
              <w:spacing w:line="276" w:lineRule="auto"/>
              <w:rPr>
                <w:rFonts w:cs="Arial"/>
                <w:b/>
                <w:sz w:val="18"/>
              </w:rPr>
            </w:pPr>
            <w:r w:rsidRPr="005270DD">
              <w:rPr>
                <w:rFonts w:cs="Arial"/>
                <w:b/>
                <w:sz w:val="18"/>
              </w:rPr>
              <w:t>4. Small Blocks</w:t>
            </w:r>
          </w:p>
        </w:tc>
        <w:tc>
          <w:tcPr>
            <w:tcW w:w="2767" w:type="dxa"/>
          </w:tcPr>
          <w:p w:rsidR="00663FF1" w:rsidRPr="005C63A9" w:rsidRDefault="00663FF1" w:rsidP="006430CE">
            <w:pPr>
              <w:spacing w:line="276" w:lineRule="auto"/>
              <w:rPr>
                <w:rFonts w:cs="Arial"/>
                <w:sz w:val="18"/>
              </w:rPr>
            </w:pPr>
            <w:r w:rsidRPr="005C63A9">
              <w:rPr>
                <w:rFonts w:cs="Arial"/>
                <w:sz w:val="18"/>
              </w:rPr>
              <w:t xml:space="preserve">Blocks should be small to promote non-motorized transit </w:t>
            </w:r>
          </w:p>
        </w:tc>
        <w:tc>
          <w:tcPr>
            <w:tcW w:w="1890" w:type="dxa"/>
          </w:tcPr>
          <w:p w:rsidR="00663FF1" w:rsidRPr="005C63A9" w:rsidRDefault="00663FF1" w:rsidP="006430CE">
            <w:pPr>
              <w:autoSpaceDE w:val="0"/>
              <w:autoSpaceDN w:val="0"/>
              <w:adjustRightInd w:val="0"/>
              <w:spacing w:line="276" w:lineRule="auto"/>
              <w:rPr>
                <w:rFonts w:cs="Arial"/>
                <w:sz w:val="18"/>
              </w:rPr>
            </w:pPr>
            <w:r w:rsidRPr="005C63A9">
              <w:rPr>
                <w:rFonts w:cs="Arial"/>
                <w:sz w:val="18"/>
              </w:rPr>
              <w:t xml:space="preserve">Blocks size as measured by area </w:t>
            </w:r>
          </w:p>
          <w:p w:rsidR="00663FF1" w:rsidRPr="005C63A9" w:rsidRDefault="00663FF1" w:rsidP="006430CE">
            <w:pPr>
              <w:autoSpaceDE w:val="0"/>
              <w:autoSpaceDN w:val="0"/>
              <w:adjustRightInd w:val="0"/>
              <w:spacing w:line="276" w:lineRule="auto"/>
              <w:rPr>
                <w:rFonts w:cs="Arial"/>
                <w:sz w:val="18"/>
              </w:rPr>
            </w:pPr>
            <w:r w:rsidRPr="005C63A9">
              <w:rPr>
                <w:rFonts w:cs="Arial"/>
                <w:sz w:val="18"/>
              </w:rPr>
              <w:t>equal to 2 h</w:t>
            </w:r>
            <w:r>
              <w:rPr>
                <w:rFonts w:cs="Arial"/>
                <w:sz w:val="18"/>
              </w:rPr>
              <w:t xml:space="preserve">a </w:t>
            </w:r>
            <w:r w:rsidRPr="005C63A9">
              <w:rPr>
                <w:rFonts w:cs="Arial"/>
                <w:sz w:val="18"/>
              </w:rPr>
              <w:t>and 70% of blocks should comply with</w:t>
            </w:r>
          </w:p>
          <w:p w:rsidR="00663FF1" w:rsidRPr="005C63A9" w:rsidRDefault="00663FF1" w:rsidP="006430CE">
            <w:pPr>
              <w:spacing w:line="276" w:lineRule="auto"/>
              <w:rPr>
                <w:rFonts w:cs="Arial"/>
                <w:sz w:val="18"/>
              </w:rPr>
            </w:pPr>
            <w:r w:rsidRPr="005C63A9">
              <w:rPr>
                <w:rFonts w:cs="Arial"/>
                <w:sz w:val="18"/>
                <w:lang w:val="sv-SE"/>
              </w:rPr>
              <w:t>this standard.</w:t>
            </w:r>
          </w:p>
        </w:tc>
        <w:tc>
          <w:tcPr>
            <w:tcW w:w="1800" w:type="dxa"/>
          </w:tcPr>
          <w:p w:rsidR="00663FF1" w:rsidRPr="005C63A9" w:rsidRDefault="00663FF1" w:rsidP="006430CE">
            <w:pPr>
              <w:spacing w:line="276" w:lineRule="auto"/>
              <w:rPr>
                <w:rFonts w:cs="Arial"/>
                <w:sz w:val="18"/>
              </w:rPr>
            </w:pPr>
            <w:r w:rsidRPr="005C63A9">
              <w:rPr>
                <w:rFonts w:cs="Arial"/>
                <w:sz w:val="18"/>
              </w:rPr>
              <w:t>70% of blocks ≤ 2 ha.</w:t>
            </w:r>
          </w:p>
          <w:p w:rsidR="00663FF1" w:rsidRPr="005C63A9" w:rsidRDefault="00663FF1" w:rsidP="006430CE">
            <w:pPr>
              <w:spacing w:line="276" w:lineRule="auto"/>
              <w:rPr>
                <w:rFonts w:cs="Arial"/>
                <w:sz w:val="18"/>
              </w:rPr>
            </w:pPr>
            <w:r w:rsidRPr="005C63A9">
              <w:rPr>
                <w:rFonts w:cs="Arial"/>
                <w:sz w:val="18"/>
              </w:rPr>
              <w:t>(excluding industrial areas)</w:t>
            </w:r>
          </w:p>
        </w:tc>
        <w:tc>
          <w:tcPr>
            <w:tcW w:w="2430" w:type="dxa"/>
          </w:tcPr>
          <w:p w:rsidR="00663FF1" w:rsidRPr="005C63A9" w:rsidRDefault="00663FF1" w:rsidP="006430CE">
            <w:pPr>
              <w:spacing w:line="276" w:lineRule="auto"/>
              <w:rPr>
                <w:rFonts w:cs="Arial"/>
                <w:sz w:val="18"/>
              </w:rPr>
            </w:pPr>
            <w:r w:rsidRPr="005C63A9">
              <w:rPr>
                <w:rFonts w:cs="Arial"/>
                <w:sz w:val="18"/>
              </w:rPr>
              <w:t>100%</w:t>
            </w:r>
          </w:p>
        </w:tc>
        <w:tc>
          <w:tcPr>
            <w:tcW w:w="3600" w:type="dxa"/>
          </w:tcPr>
          <w:p w:rsidR="00663FF1" w:rsidRPr="005C63A9" w:rsidRDefault="00663FF1" w:rsidP="006430CE">
            <w:pPr>
              <w:spacing w:line="276" w:lineRule="auto"/>
              <w:rPr>
                <w:rFonts w:cs="Arial"/>
                <w:sz w:val="18"/>
              </w:rPr>
            </w:pPr>
            <w:r w:rsidRPr="005C63A9">
              <w:rPr>
                <w:rFonts w:cs="Arial"/>
                <w:sz w:val="18"/>
              </w:rPr>
              <w:t>Typical block sizes are 50x70 m and 70x100 m</w:t>
            </w:r>
          </w:p>
        </w:tc>
      </w:tr>
      <w:tr w:rsidR="00663FF1" w:rsidRPr="00F77892" w:rsidTr="006430CE">
        <w:tc>
          <w:tcPr>
            <w:tcW w:w="1458" w:type="dxa"/>
            <w:vMerge w:val="restart"/>
          </w:tcPr>
          <w:p w:rsidR="00663FF1" w:rsidRPr="005270DD" w:rsidRDefault="00663FF1" w:rsidP="006430CE">
            <w:pPr>
              <w:spacing w:line="276" w:lineRule="auto"/>
              <w:rPr>
                <w:rFonts w:cs="Arial"/>
                <w:b/>
                <w:sz w:val="18"/>
              </w:rPr>
            </w:pPr>
            <w:r w:rsidRPr="005270DD">
              <w:rPr>
                <w:rFonts w:cs="Arial"/>
                <w:b/>
                <w:sz w:val="18"/>
              </w:rPr>
              <w:t>5. Public Green Space</w:t>
            </w:r>
          </w:p>
        </w:tc>
        <w:tc>
          <w:tcPr>
            <w:tcW w:w="2767" w:type="dxa"/>
          </w:tcPr>
          <w:p w:rsidR="00663FF1" w:rsidRPr="005C63A9" w:rsidRDefault="00663FF1" w:rsidP="006430CE">
            <w:pPr>
              <w:spacing w:line="276" w:lineRule="auto"/>
              <w:rPr>
                <w:rFonts w:cs="Arial"/>
                <w:sz w:val="18"/>
              </w:rPr>
            </w:pPr>
            <w:r w:rsidRPr="005C63A9">
              <w:rPr>
                <w:rFonts w:cs="Arial"/>
                <w:sz w:val="18"/>
              </w:rPr>
              <w:t>Well distributed access to green</w:t>
            </w:r>
            <w:r>
              <w:rPr>
                <w:rFonts w:cs="Arial"/>
                <w:sz w:val="18"/>
              </w:rPr>
              <w:t xml:space="preserve"> </w:t>
            </w:r>
            <w:r w:rsidRPr="005C63A9">
              <w:rPr>
                <w:rFonts w:cs="Arial"/>
                <w:sz w:val="18"/>
              </w:rPr>
              <w:t>space</w:t>
            </w:r>
          </w:p>
        </w:tc>
        <w:tc>
          <w:tcPr>
            <w:tcW w:w="1890" w:type="dxa"/>
          </w:tcPr>
          <w:p w:rsidR="00663FF1" w:rsidRPr="005C63A9" w:rsidRDefault="00663FF1" w:rsidP="006430CE">
            <w:pPr>
              <w:spacing w:line="276" w:lineRule="auto"/>
              <w:rPr>
                <w:rFonts w:cs="Arial"/>
                <w:sz w:val="18"/>
              </w:rPr>
            </w:pPr>
            <w:r w:rsidRPr="005C63A9">
              <w:rPr>
                <w:rFonts w:cs="Arial"/>
                <w:sz w:val="18"/>
              </w:rPr>
              <w:t>% of residents within 500 m of publicly accessible green</w:t>
            </w:r>
            <w:r>
              <w:rPr>
                <w:rFonts w:cs="Arial"/>
                <w:sz w:val="18"/>
              </w:rPr>
              <w:t xml:space="preserve"> </w:t>
            </w:r>
            <w:r w:rsidRPr="005C63A9">
              <w:rPr>
                <w:rFonts w:cs="Arial"/>
                <w:sz w:val="18"/>
              </w:rPr>
              <w:t>space</w:t>
            </w:r>
          </w:p>
          <w:p w:rsidR="00663FF1" w:rsidRPr="005C63A9" w:rsidRDefault="00663FF1" w:rsidP="006430CE">
            <w:pPr>
              <w:spacing w:line="276" w:lineRule="auto"/>
              <w:rPr>
                <w:rFonts w:cs="Arial"/>
                <w:sz w:val="18"/>
              </w:rPr>
            </w:pPr>
          </w:p>
        </w:tc>
        <w:tc>
          <w:tcPr>
            <w:tcW w:w="1800" w:type="dxa"/>
          </w:tcPr>
          <w:p w:rsidR="00663FF1" w:rsidRPr="005C63A9" w:rsidRDefault="00663FF1" w:rsidP="006430CE">
            <w:pPr>
              <w:spacing w:line="276" w:lineRule="auto"/>
              <w:rPr>
                <w:rFonts w:cs="Arial"/>
                <w:sz w:val="18"/>
              </w:rPr>
            </w:pPr>
            <w:r w:rsidRPr="005C63A9">
              <w:rPr>
                <w:rFonts w:cs="Arial"/>
                <w:sz w:val="18"/>
              </w:rPr>
              <w:t>100%</w:t>
            </w:r>
          </w:p>
        </w:tc>
        <w:tc>
          <w:tcPr>
            <w:tcW w:w="2430" w:type="dxa"/>
          </w:tcPr>
          <w:p w:rsidR="00663FF1" w:rsidRPr="005C63A9" w:rsidRDefault="00663FF1" w:rsidP="006430CE">
            <w:pPr>
              <w:spacing w:line="276" w:lineRule="auto"/>
              <w:rPr>
                <w:rFonts w:cs="Arial"/>
                <w:sz w:val="18"/>
              </w:rPr>
            </w:pPr>
            <w:r w:rsidRPr="005C63A9">
              <w:rPr>
                <w:rFonts w:cs="Arial"/>
                <w:sz w:val="18"/>
              </w:rPr>
              <w:t>100%</w:t>
            </w:r>
          </w:p>
        </w:tc>
        <w:tc>
          <w:tcPr>
            <w:tcW w:w="3600" w:type="dxa"/>
          </w:tcPr>
          <w:p w:rsidR="00663FF1" w:rsidRPr="00F61300" w:rsidRDefault="00663FF1" w:rsidP="006430CE">
            <w:pPr>
              <w:spacing w:line="276" w:lineRule="auto"/>
              <w:rPr>
                <w:rFonts w:cs="Arial"/>
                <w:sz w:val="18"/>
                <w:szCs w:val="18"/>
              </w:rPr>
            </w:pPr>
          </w:p>
        </w:tc>
      </w:tr>
      <w:tr w:rsidR="00663FF1" w:rsidRPr="00F77892" w:rsidTr="006430CE">
        <w:tc>
          <w:tcPr>
            <w:tcW w:w="1458" w:type="dxa"/>
            <w:vMerge/>
          </w:tcPr>
          <w:p w:rsidR="00663FF1" w:rsidRPr="005270DD" w:rsidRDefault="00663FF1" w:rsidP="006430CE">
            <w:pPr>
              <w:spacing w:line="276" w:lineRule="auto"/>
              <w:rPr>
                <w:rFonts w:cs="Arial"/>
                <w:b/>
                <w:sz w:val="18"/>
              </w:rPr>
            </w:pPr>
          </w:p>
        </w:tc>
        <w:tc>
          <w:tcPr>
            <w:tcW w:w="2767" w:type="dxa"/>
          </w:tcPr>
          <w:p w:rsidR="00663FF1" w:rsidRPr="005C63A9" w:rsidRDefault="00663FF1" w:rsidP="006430CE">
            <w:pPr>
              <w:spacing w:line="276" w:lineRule="auto"/>
              <w:rPr>
                <w:rFonts w:cs="Arial"/>
                <w:sz w:val="18"/>
              </w:rPr>
            </w:pPr>
            <w:r w:rsidRPr="005C63A9">
              <w:rPr>
                <w:rFonts w:cs="Arial"/>
                <w:sz w:val="18"/>
              </w:rPr>
              <w:t>Sufficient quantity of green</w:t>
            </w:r>
            <w:r>
              <w:rPr>
                <w:rFonts w:cs="Arial"/>
                <w:sz w:val="18"/>
              </w:rPr>
              <w:t xml:space="preserve"> </w:t>
            </w:r>
            <w:r w:rsidRPr="005C63A9">
              <w:rPr>
                <w:rFonts w:cs="Arial"/>
                <w:sz w:val="18"/>
              </w:rPr>
              <w:t>space/blue</w:t>
            </w:r>
            <w:r>
              <w:rPr>
                <w:rFonts w:cs="Arial"/>
                <w:sz w:val="18"/>
              </w:rPr>
              <w:t xml:space="preserve"> </w:t>
            </w:r>
            <w:r w:rsidRPr="005C63A9">
              <w:rPr>
                <w:rFonts w:cs="Arial"/>
                <w:sz w:val="18"/>
              </w:rPr>
              <w:t>space</w:t>
            </w:r>
          </w:p>
        </w:tc>
        <w:tc>
          <w:tcPr>
            <w:tcW w:w="1890" w:type="dxa"/>
          </w:tcPr>
          <w:p w:rsidR="00663FF1" w:rsidRPr="005C63A9" w:rsidRDefault="00663FF1" w:rsidP="006430CE">
            <w:pPr>
              <w:spacing w:line="276" w:lineRule="auto"/>
              <w:rPr>
                <w:rFonts w:cs="Arial"/>
                <w:sz w:val="18"/>
              </w:rPr>
            </w:pPr>
            <w:r w:rsidRPr="005C63A9">
              <w:rPr>
                <w:rFonts w:cs="Arial"/>
                <w:sz w:val="18"/>
              </w:rPr>
              <w:t>% of land area devoted to publicly accessible green</w:t>
            </w:r>
            <w:r>
              <w:rPr>
                <w:rFonts w:cs="Arial"/>
                <w:sz w:val="18"/>
              </w:rPr>
              <w:t xml:space="preserve"> </w:t>
            </w:r>
            <w:r w:rsidRPr="005C63A9">
              <w:rPr>
                <w:rFonts w:cs="Arial"/>
                <w:sz w:val="18"/>
              </w:rPr>
              <w:t>space/blue</w:t>
            </w:r>
            <w:r>
              <w:rPr>
                <w:rFonts w:cs="Arial"/>
                <w:sz w:val="18"/>
              </w:rPr>
              <w:t xml:space="preserve"> </w:t>
            </w:r>
            <w:r w:rsidRPr="005C63A9">
              <w:rPr>
                <w:rFonts w:cs="Arial"/>
                <w:sz w:val="18"/>
              </w:rPr>
              <w:t xml:space="preserve">space. </w:t>
            </w:r>
          </w:p>
          <w:p w:rsidR="00663FF1" w:rsidRPr="005C63A9" w:rsidRDefault="00663FF1" w:rsidP="006430CE">
            <w:pPr>
              <w:spacing w:line="276" w:lineRule="auto"/>
              <w:rPr>
                <w:rFonts w:cs="Arial"/>
                <w:sz w:val="18"/>
              </w:rPr>
            </w:pPr>
          </w:p>
        </w:tc>
        <w:tc>
          <w:tcPr>
            <w:tcW w:w="1800" w:type="dxa"/>
          </w:tcPr>
          <w:p w:rsidR="00663FF1" w:rsidRPr="005C63A9" w:rsidRDefault="00663FF1" w:rsidP="006430CE">
            <w:pPr>
              <w:spacing w:line="276" w:lineRule="auto"/>
              <w:rPr>
                <w:rFonts w:cs="Arial"/>
                <w:sz w:val="18"/>
              </w:rPr>
            </w:pPr>
            <w:r w:rsidRPr="005C63A9">
              <w:rPr>
                <w:rFonts w:cs="Arial"/>
                <w:sz w:val="18"/>
              </w:rPr>
              <w:t>20-40% in commercial areas and higher levels in residential areas</w:t>
            </w:r>
          </w:p>
        </w:tc>
        <w:tc>
          <w:tcPr>
            <w:tcW w:w="2430" w:type="dxa"/>
          </w:tcPr>
          <w:p w:rsidR="00663FF1" w:rsidRPr="005C63A9" w:rsidRDefault="00663FF1" w:rsidP="006430CE">
            <w:pPr>
              <w:spacing w:line="276" w:lineRule="auto"/>
              <w:rPr>
                <w:rFonts w:cs="Arial"/>
                <w:sz w:val="18"/>
                <w:highlight w:val="green"/>
              </w:rPr>
            </w:pPr>
            <w:r w:rsidRPr="005C63A9">
              <w:rPr>
                <w:rFonts w:cs="Arial"/>
                <w:sz w:val="18"/>
              </w:rPr>
              <w:t>40%</w:t>
            </w:r>
          </w:p>
        </w:tc>
        <w:tc>
          <w:tcPr>
            <w:tcW w:w="3600" w:type="dxa"/>
          </w:tcPr>
          <w:p w:rsidR="00663FF1" w:rsidRDefault="00663FF1" w:rsidP="006430CE">
            <w:pPr>
              <w:autoSpaceDE w:val="0"/>
              <w:autoSpaceDN w:val="0"/>
              <w:adjustRightInd w:val="0"/>
              <w:spacing w:line="276" w:lineRule="auto"/>
              <w:rPr>
                <w:rFonts w:eastAsia="MetaPlusBook-Roman" w:cs="Arial"/>
                <w:sz w:val="18"/>
                <w:szCs w:val="18"/>
              </w:rPr>
            </w:pPr>
            <w:r w:rsidRPr="00F61300">
              <w:rPr>
                <w:rFonts w:eastAsia="MetaPlusBook-Roman" w:cs="Arial"/>
                <w:sz w:val="18"/>
                <w:szCs w:val="18"/>
              </w:rPr>
              <w:t>19% of total area consists of public green space with varied parks, green spaces, quays, plazas and walkways.</w:t>
            </w:r>
          </w:p>
          <w:p w:rsidR="00663FF1" w:rsidRDefault="00663FF1" w:rsidP="006430CE">
            <w:pPr>
              <w:autoSpaceDE w:val="0"/>
              <w:autoSpaceDN w:val="0"/>
              <w:adjustRightInd w:val="0"/>
              <w:spacing w:line="276" w:lineRule="auto"/>
              <w:rPr>
                <w:rFonts w:cs="Arial"/>
                <w:sz w:val="18"/>
              </w:rPr>
            </w:pPr>
          </w:p>
          <w:p w:rsidR="00663FF1" w:rsidRPr="005C63A9" w:rsidRDefault="00663FF1" w:rsidP="006430CE">
            <w:pPr>
              <w:autoSpaceDE w:val="0"/>
              <w:autoSpaceDN w:val="0"/>
              <w:adjustRightInd w:val="0"/>
              <w:spacing w:line="276" w:lineRule="auto"/>
              <w:rPr>
                <w:rFonts w:cs="Arial"/>
                <w:sz w:val="18"/>
              </w:rPr>
            </w:pPr>
            <w:r>
              <w:rPr>
                <w:rFonts w:cs="Arial"/>
                <w:sz w:val="18"/>
              </w:rPr>
              <w:t>40% of the area is</w:t>
            </w:r>
            <w:r w:rsidRPr="005C63A9">
              <w:rPr>
                <w:rFonts w:cs="Arial"/>
                <w:sz w:val="18"/>
              </w:rPr>
              <w:t xml:space="preserve"> green/blue areas such as courtyards, lakes</w:t>
            </w:r>
            <w:r>
              <w:rPr>
                <w:rFonts w:cs="Arial"/>
                <w:sz w:val="18"/>
              </w:rPr>
              <w:t>,</w:t>
            </w:r>
            <w:r w:rsidRPr="005C63A9">
              <w:rPr>
                <w:rFonts w:cs="Arial"/>
                <w:sz w:val="18"/>
              </w:rPr>
              <w:t xml:space="preserve"> and recreation grounds.</w:t>
            </w:r>
          </w:p>
          <w:p w:rsidR="00663FF1" w:rsidRPr="005C63A9" w:rsidRDefault="00663FF1" w:rsidP="006430CE">
            <w:pPr>
              <w:spacing w:line="276" w:lineRule="auto"/>
              <w:rPr>
                <w:rFonts w:cs="Arial"/>
                <w:sz w:val="18"/>
              </w:rPr>
            </w:pPr>
          </w:p>
          <w:p w:rsidR="00663FF1" w:rsidRPr="005C63A9" w:rsidRDefault="00663FF1" w:rsidP="006430CE">
            <w:pPr>
              <w:spacing w:line="276" w:lineRule="auto"/>
              <w:rPr>
                <w:rFonts w:cs="Arial"/>
                <w:sz w:val="18"/>
              </w:rPr>
            </w:pPr>
            <w:r w:rsidRPr="005C63A9">
              <w:rPr>
                <w:rFonts w:cs="Arial"/>
                <w:sz w:val="18"/>
              </w:rPr>
              <w:t>The Hammarby Lake occupies 25% of the blue space area.</w:t>
            </w:r>
          </w:p>
          <w:p w:rsidR="00663FF1" w:rsidRPr="005C63A9" w:rsidRDefault="00663FF1" w:rsidP="006430CE">
            <w:pPr>
              <w:spacing w:line="276" w:lineRule="auto"/>
              <w:rPr>
                <w:rFonts w:cs="Arial"/>
                <w:sz w:val="18"/>
              </w:rPr>
            </w:pPr>
          </w:p>
          <w:p w:rsidR="00663FF1" w:rsidRPr="005C63A9" w:rsidRDefault="00663FF1" w:rsidP="006430CE">
            <w:pPr>
              <w:spacing w:line="276" w:lineRule="auto"/>
              <w:rPr>
                <w:rFonts w:cs="Arial"/>
                <w:sz w:val="18"/>
              </w:rPr>
            </w:pPr>
            <w:r w:rsidRPr="005C63A9">
              <w:rPr>
                <w:rFonts w:cs="Arial"/>
                <w:sz w:val="18"/>
              </w:rPr>
              <w:t>25 m</w:t>
            </w:r>
            <w:r w:rsidRPr="005C63A9">
              <w:rPr>
                <w:rFonts w:cs="Arial"/>
                <w:sz w:val="18"/>
                <w:vertAlign w:val="superscript"/>
              </w:rPr>
              <w:t>2</w:t>
            </w:r>
            <w:r w:rsidRPr="005C63A9">
              <w:rPr>
                <w:rFonts w:cs="Arial"/>
                <w:sz w:val="18"/>
              </w:rPr>
              <w:t xml:space="preserve"> per person of free space. For all residents in Hammarby this implies an area of 650</w:t>
            </w:r>
            <w:r>
              <w:rPr>
                <w:rFonts w:cs="Arial"/>
                <w:sz w:val="18"/>
              </w:rPr>
              <w:t>,</w:t>
            </w:r>
            <w:r w:rsidRPr="005C63A9">
              <w:rPr>
                <w:rFonts w:cs="Arial"/>
                <w:sz w:val="18"/>
              </w:rPr>
              <w:t>000 m</w:t>
            </w:r>
            <w:r w:rsidRPr="005C63A9">
              <w:rPr>
                <w:rFonts w:cs="Arial"/>
                <w:sz w:val="18"/>
                <w:vertAlign w:val="superscript"/>
              </w:rPr>
              <w:t>2</w:t>
            </w:r>
            <w:r w:rsidRPr="005C63A9">
              <w:rPr>
                <w:rFonts w:cs="Arial"/>
                <w:sz w:val="18"/>
              </w:rPr>
              <w:t xml:space="preserve"> of public space. </w:t>
            </w:r>
          </w:p>
        </w:tc>
      </w:tr>
      <w:tr w:rsidR="00663FF1" w:rsidRPr="00F77892" w:rsidTr="006430CE">
        <w:trPr>
          <w:trHeight w:val="998"/>
        </w:trPr>
        <w:tc>
          <w:tcPr>
            <w:tcW w:w="1458" w:type="dxa"/>
            <w:vMerge w:val="restart"/>
          </w:tcPr>
          <w:p w:rsidR="00663FF1" w:rsidRPr="005270DD" w:rsidRDefault="00663FF1" w:rsidP="006430CE">
            <w:pPr>
              <w:spacing w:line="276" w:lineRule="auto"/>
              <w:rPr>
                <w:rFonts w:cs="Arial"/>
                <w:b/>
                <w:sz w:val="18"/>
              </w:rPr>
            </w:pPr>
            <w:r w:rsidRPr="005270DD">
              <w:rPr>
                <w:rFonts w:cs="Arial"/>
                <w:b/>
                <w:sz w:val="18"/>
              </w:rPr>
              <w:lastRenderedPageBreak/>
              <w:t>6. Non-motorized Transit (NMT)</w:t>
            </w:r>
          </w:p>
          <w:p w:rsidR="00663FF1" w:rsidRPr="005270DD" w:rsidRDefault="00663FF1" w:rsidP="006430CE">
            <w:pPr>
              <w:spacing w:line="276" w:lineRule="auto"/>
              <w:rPr>
                <w:rFonts w:cs="Arial"/>
                <w:b/>
                <w:sz w:val="18"/>
              </w:rPr>
            </w:pPr>
          </w:p>
        </w:tc>
        <w:tc>
          <w:tcPr>
            <w:tcW w:w="2767" w:type="dxa"/>
          </w:tcPr>
          <w:p w:rsidR="00663FF1" w:rsidRPr="005C63A9" w:rsidRDefault="00663FF1" w:rsidP="006430CE">
            <w:pPr>
              <w:spacing w:line="276" w:lineRule="auto"/>
              <w:rPr>
                <w:rFonts w:cs="Arial"/>
                <w:sz w:val="18"/>
              </w:rPr>
            </w:pPr>
            <w:r w:rsidRPr="005C63A9">
              <w:rPr>
                <w:rFonts w:cs="Arial"/>
                <w:sz w:val="18"/>
              </w:rPr>
              <w:t>Promote NMT through well- developed pedestrian path networks</w:t>
            </w:r>
          </w:p>
        </w:tc>
        <w:tc>
          <w:tcPr>
            <w:tcW w:w="1890" w:type="dxa"/>
          </w:tcPr>
          <w:p w:rsidR="00663FF1" w:rsidRPr="005C63A9" w:rsidRDefault="00663FF1" w:rsidP="006430CE">
            <w:pPr>
              <w:spacing w:line="276" w:lineRule="auto"/>
              <w:rPr>
                <w:rFonts w:cs="Arial"/>
                <w:sz w:val="18"/>
              </w:rPr>
            </w:pPr>
            <w:r w:rsidRPr="005C63A9">
              <w:rPr>
                <w:rFonts w:cs="Arial"/>
                <w:sz w:val="18"/>
              </w:rPr>
              <w:t>Density of pedestrian paths (</w:t>
            </w:r>
            <w:r>
              <w:rPr>
                <w:rFonts w:cs="Arial"/>
                <w:sz w:val="18"/>
              </w:rPr>
              <w:t>km</w:t>
            </w:r>
            <w:r w:rsidRPr="005C63A9">
              <w:rPr>
                <w:rFonts w:cs="Arial"/>
                <w:sz w:val="18"/>
              </w:rPr>
              <w:t xml:space="preserve"> in length/ </w:t>
            </w:r>
            <w:r>
              <w:rPr>
                <w:rFonts w:cs="Arial"/>
                <w:sz w:val="18"/>
              </w:rPr>
              <w:t>km</w:t>
            </w:r>
            <w:proofErr w:type="gramStart"/>
            <w:r w:rsidRPr="0061492A">
              <w:rPr>
                <w:rFonts w:cs="Arial"/>
                <w:sz w:val="18"/>
                <w:vertAlign w:val="superscript"/>
              </w:rPr>
              <w:t>2</w:t>
            </w:r>
            <w:r>
              <w:rPr>
                <w:rFonts w:cs="Arial"/>
                <w:sz w:val="18"/>
              </w:rPr>
              <w:t xml:space="preserve"> </w:t>
            </w:r>
            <w:r w:rsidRPr="005C63A9">
              <w:rPr>
                <w:rFonts w:cs="Arial"/>
                <w:sz w:val="18"/>
              </w:rPr>
              <w:t xml:space="preserve"> of</w:t>
            </w:r>
            <w:proofErr w:type="gramEnd"/>
            <w:r w:rsidRPr="005C63A9">
              <w:rPr>
                <w:rFonts w:cs="Arial"/>
                <w:sz w:val="18"/>
              </w:rPr>
              <w:t xml:space="preserve"> district land area)</w:t>
            </w:r>
          </w:p>
        </w:tc>
        <w:tc>
          <w:tcPr>
            <w:tcW w:w="1800" w:type="dxa"/>
          </w:tcPr>
          <w:p w:rsidR="00663FF1" w:rsidRPr="005C63A9" w:rsidRDefault="00663FF1" w:rsidP="006430CE">
            <w:pPr>
              <w:spacing w:line="276" w:lineRule="auto"/>
              <w:rPr>
                <w:rFonts w:cs="Arial"/>
                <w:sz w:val="18"/>
              </w:rPr>
            </w:pPr>
            <w:r w:rsidRPr="005C63A9">
              <w:rPr>
                <w:rFonts w:cs="Arial"/>
                <w:sz w:val="18"/>
              </w:rPr>
              <w:t>≥ 10</w:t>
            </w:r>
          </w:p>
        </w:tc>
        <w:tc>
          <w:tcPr>
            <w:tcW w:w="2430" w:type="dxa"/>
          </w:tcPr>
          <w:p w:rsidR="00663FF1" w:rsidRPr="005C63A9" w:rsidRDefault="00663FF1" w:rsidP="006430CE">
            <w:pPr>
              <w:spacing w:line="276" w:lineRule="auto"/>
              <w:rPr>
                <w:rFonts w:cs="Arial"/>
                <w:sz w:val="18"/>
                <w:highlight w:val="green"/>
              </w:rPr>
            </w:pPr>
            <w:r w:rsidRPr="005C63A9">
              <w:rPr>
                <w:rFonts w:cs="Arial"/>
                <w:sz w:val="18"/>
              </w:rPr>
              <w:t>Yes</w:t>
            </w:r>
          </w:p>
        </w:tc>
        <w:tc>
          <w:tcPr>
            <w:tcW w:w="3600" w:type="dxa"/>
          </w:tcPr>
          <w:p w:rsidR="00663FF1" w:rsidRPr="005C63A9" w:rsidRDefault="00663FF1" w:rsidP="006430CE">
            <w:pPr>
              <w:spacing w:line="276" w:lineRule="auto"/>
              <w:rPr>
                <w:rFonts w:cs="Arial"/>
                <w:sz w:val="18"/>
              </w:rPr>
            </w:pPr>
            <w:r w:rsidRPr="005C63A9">
              <w:rPr>
                <w:rFonts w:cs="Arial"/>
                <w:sz w:val="18"/>
              </w:rPr>
              <w:t>25.8 km/km²</w:t>
            </w:r>
          </w:p>
          <w:p w:rsidR="00663FF1" w:rsidRPr="005C63A9" w:rsidRDefault="00663FF1" w:rsidP="006430CE">
            <w:pPr>
              <w:spacing w:line="276" w:lineRule="auto"/>
              <w:rPr>
                <w:rFonts w:cs="Arial"/>
                <w:sz w:val="18"/>
              </w:rPr>
            </w:pPr>
          </w:p>
          <w:p w:rsidR="00663FF1" w:rsidRPr="005C63A9" w:rsidRDefault="00663FF1" w:rsidP="006430CE">
            <w:pPr>
              <w:spacing w:line="276" w:lineRule="auto"/>
              <w:rPr>
                <w:rFonts w:cs="Arial"/>
                <w:sz w:val="18"/>
              </w:rPr>
            </w:pPr>
            <w:r w:rsidRPr="005C63A9">
              <w:rPr>
                <w:rFonts w:cs="Arial"/>
                <w:sz w:val="18"/>
              </w:rPr>
              <w:t>Length of pedestrian path: 45.7 km</w:t>
            </w:r>
          </w:p>
        </w:tc>
      </w:tr>
      <w:tr w:rsidR="00663FF1" w:rsidRPr="00F77892" w:rsidTr="006430CE">
        <w:tc>
          <w:tcPr>
            <w:tcW w:w="1458" w:type="dxa"/>
            <w:vMerge/>
          </w:tcPr>
          <w:p w:rsidR="00663FF1" w:rsidRPr="005270DD" w:rsidRDefault="00663FF1" w:rsidP="006430CE">
            <w:pPr>
              <w:spacing w:line="276" w:lineRule="auto"/>
              <w:rPr>
                <w:rFonts w:cs="Arial"/>
                <w:b/>
                <w:sz w:val="18"/>
              </w:rPr>
            </w:pPr>
          </w:p>
        </w:tc>
        <w:tc>
          <w:tcPr>
            <w:tcW w:w="2767" w:type="dxa"/>
          </w:tcPr>
          <w:p w:rsidR="00663FF1" w:rsidRPr="005C63A9" w:rsidRDefault="00663FF1" w:rsidP="006430CE">
            <w:pPr>
              <w:spacing w:line="276" w:lineRule="auto"/>
              <w:rPr>
                <w:rFonts w:cs="Arial"/>
                <w:sz w:val="18"/>
              </w:rPr>
            </w:pPr>
            <w:r w:rsidRPr="005C63A9">
              <w:rPr>
                <w:rFonts w:cs="Arial"/>
                <w:sz w:val="18"/>
              </w:rPr>
              <w:t>Promote NMT through well- developed bike path networks</w:t>
            </w:r>
          </w:p>
        </w:tc>
        <w:tc>
          <w:tcPr>
            <w:tcW w:w="1890" w:type="dxa"/>
          </w:tcPr>
          <w:p w:rsidR="00663FF1" w:rsidRPr="005C63A9" w:rsidRDefault="00663FF1" w:rsidP="006430CE">
            <w:pPr>
              <w:spacing w:line="276" w:lineRule="auto"/>
              <w:rPr>
                <w:rFonts w:cs="Arial"/>
                <w:sz w:val="18"/>
              </w:rPr>
            </w:pPr>
            <w:r w:rsidRPr="005C63A9">
              <w:rPr>
                <w:rFonts w:cs="Arial"/>
                <w:sz w:val="18"/>
              </w:rPr>
              <w:t>Density of bike paths (</w:t>
            </w:r>
            <w:r>
              <w:rPr>
                <w:rFonts w:cs="Arial"/>
                <w:sz w:val="18"/>
              </w:rPr>
              <w:t>km</w:t>
            </w:r>
            <w:r w:rsidRPr="005C63A9">
              <w:rPr>
                <w:rFonts w:cs="Arial"/>
                <w:sz w:val="18"/>
              </w:rPr>
              <w:t xml:space="preserve"> in length / </w:t>
            </w:r>
            <w:r>
              <w:rPr>
                <w:rFonts w:cs="Arial"/>
                <w:sz w:val="18"/>
              </w:rPr>
              <w:t>km</w:t>
            </w:r>
            <w:r w:rsidRPr="0061492A">
              <w:rPr>
                <w:rFonts w:cs="Arial"/>
                <w:sz w:val="18"/>
                <w:vertAlign w:val="superscript"/>
              </w:rPr>
              <w:t>2</w:t>
            </w:r>
            <w:r w:rsidRPr="005C63A9">
              <w:rPr>
                <w:rFonts w:cs="Arial"/>
                <w:sz w:val="18"/>
              </w:rPr>
              <w:t xml:space="preserve"> of district land area)</w:t>
            </w:r>
          </w:p>
        </w:tc>
        <w:tc>
          <w:tcPr>
            <w:tcW w:w="1800" w:type="dxa"/>
          </w:tcPr>
          <w:p w:rsidR="00663FF1" w:rsidRPr="005C63A9" w:rsidRDefault="00663FF1" w:rsidP="006430CE">
            <w:pPr>
              <w:spacing w:line="276" w:lineRule="auto"/>
              <w:rPr>
                <w:rFonts w:cs="Arial"/>
                <w:sz w:val="18"/>
              </w:rPr>
            </w:pPr>
            <w:r w:rsidRPr="005C63A9">
              <w:rPr>
                <w:rFonts w:cs="Arial"/>
                <w:sz w:val="18"/>
              </w:rPr>
              <w:t>≥ 10</w:t>
            </w:r>
          </w:p>
        </w:tc>
        <w:tc>
          <w:tcPr>
            <w:tcW w:w="2430" w:type="dxa"/>
          </w:tcPr>
          <w:p w:rsidR="00663FF1" w:rsidRPr="005C63A9" w:rsidRDefault="00663FF1" w:rsidP="006430CE">
            <w:pPr>
              <w:spacing w:line="276" w:lineRule="auto"/>
              <w:rPr>
                <w:rFonts w:cs="Arial"/>
                <w:sz w:val="18"/>
                <w:highlight w:val="green"/>
              </w:rPr>
            </w:pPr>
            <w:r w:rsidRPr="005C63A9">
              <w:rPr>
                <w:rFonts w:cs="Arial"/>
                <w:sz w:val="18"/>
              </w:rPr>
              <w:t>Yes</w:t>
            </w:r>
          </w:p>
        </w:tc>
        <w:tc>
          <w:tcPr>
            <w:tcW w:w="3600" w:type="dxa"/>
          </w:tcPr>
          <w:p w:rsidR="00663FF1" w:rsidRPr="005C63A9" w:rsidRDefault="00663FF1" w:rsidP="006430CE">
            <w:pPr>
              <w:spacing w:line="276" w:lineRule="auto"/>
              <w:rPr>
                <w:rFonts w:cs="Arial"/>
                <w:sz w:val="18"/>
              </w:rPr>
            </w:pPr>
            <w:r w:rsidRPr="005C63A9">
              <w:rPr>
                <w:rFonts w:cs="Arial"/>
                <w:sz w:val="18"/>
              </w:rPr>
              <w:t>10.5 km/km²</w:t>
            </w:r>
          </w:p>
          <w:p w:rsidR="00663FF1" w:rsidRPr="005C63A9" w:rsidRDefault="00663FF1" w:rsidP="006430CE">
            <w:pPr>
              <w:spacing w:line="276" w:lineRule="auto"/>
              <w:rPr>
                <w:rFonts w:cs="Arial"/>
                <w:sz w:val="18"/>
              </w:rPr>
            </w:pPr>
          </w:p>
          <w:p w:rsidR="00663FF1" w:rsidRPr="005C63A9" w:rsidRDefault="00663FF1" w:rsidP="006430CE">
            <w:pPr>
              <w:spacing w:line="276" w:lineRule="auto"/>
              <w:rPr>
                <w:rFonts w:cs="Arial"/>
                <w:sz w:val="18"/>
              </w:rPr>
            </w:pPr>
            <w:r w:rsidRPr="005C63A9">
              <w:rPr>
                <w:rFonts w:cs="Arial"/>
                <w:sz w:val="18"/>
              </w:rPr>
              <w:t xml:space="preserve">Length of bike paths 18.6 km </w:t>
            </w:r>
          </w:p>
        </w:tc>
      </w:tr>
      <w:tr w:rsidR="00663FF1" w:rsidRPr="00F77892" w:rsidTr="006430CE">
        <w:tc>
          <w:tcPr>
            <w:tcW w:w="1458" w:type="dxa"/>
          </w:tcPr>
          <w:p w:rsidR="00663FF1" w:rsidRPr="005270DD" w:rsidRDefault="00663FF1" w:rsidP="006430CE">
            <w:pPr>
              <w:spacing w:line="276" w:lineRule="auto"/>
              <w:rPr>
                <w:rFonts w:cs="Arial"/>
                <w:b/>
                <w:sz w:val="18"/>
              </w:rPr>
            </w:pPr>
            <w:r w:rsidRPr="005270DD">
              <w:rPr>
                <w:rFonts w:cs="Arial"/>
                <w:b/>
                <w:sz w:val="18"/>
              </w:rPr>
              <w:t>7. Public Transit</w:t>
            </w:r>
          </w:p>
        </w:tc>
        <w:tc>
          <w:tcPr>
            <w:tcW w:w="2767" w:type="dxa"/>
          </w:tcPr>
          <w:p w:rsidR="00663FF1" w:rsidRPr="005C63A9" w:rsidRDefault="00663FF1" w:rsidP="006430CE">
            <w:pPr>
              <w:spacing w:line="276" w:lineRule="auto"/>
              <w:rPr>
                <w:rFonts w:cs="Arial"/>
                <w:sz w:val="18"/>
              </w:rPr>
            </w:pPr>
            <w:r w:rsidRPr="005C63A9">
              <w:rPr>
                <w:rFonts w:cs="Arial"/>
                <w:sz w:val="18"/>
              </w:rPr>
              <w:t>Prioritize development near transit</w:t>
            </w:r>
          </w:p>
        </w:tc>
        <w:tc>
          <w:tcPr>
            <w:tcW w:w="1890" w:type="dxa"/>
          </w:tcPr>
          <w:p w:rsidR="00663FF1" w:rsidRPr="005C63A9" w:rsidRDefault="00663FF1" w:rsidP="006430CE">
            <w:pPr>
              <w:spacing w:line="276" w:lineRule="auto"/>
              <w:rPr>
                <w:rFonts w:cs="Arial"/>
                <w:sz w:val="18"/>
              </w:rPr>
            </w:pPr>
            <w:r w:rsidRPr="005C63A9">
              <w:rPr>
                <w:rFonts w:cs="Arial"/>
                <w:sz w:val="18"/>
              </w:rPr>
              <w:t>% of new development within 500 m of transit</w:t>
            </w:r>
          </w:p>
        </w:tc>
        <w:tc>
          <w:tcPr>
            <w:tcW w:w="1800" w:type="dxa"/>
          </w:tcPr>
          <w:p w:rsidR="00663FF1" w:rsidRPr="005C63A9" w:rsidRDefault="00663FF1" w:rsidP="006430CE">
            <w:pPr>
              <w:spacing w:line="276" w:lineRule="auto"/>
              <w:rPr>
                <w:rFonts w:cs="Arial"/>
                <w:sz w:val="18"/>
              </w:rPr>
            </w:pPr>
            <w:r w:rsidRPr="005C63A9">
              <w:rPr>
                <w:rFonts w:cs="Arial"/>
                <w:sz w:val="18"/>
              </w:rPr>
              <w:t>100%</w:t>
            </w:r>
          </w:p>
        </w:tc>
        <w:tc>
          <w:tcPr>
            <w:tcW w:w="2430" w:type="dxa"/>
          </w:tcPr>
          <w:p w:rsidR="00663FF1" w:rsidRPr="005C63A9" w:rsidRDefault="00663FF1" w:rsidP="006430CE">
            <w:pPr>
              <w:spacing w:line="276" w:lineRule="auto"/>
              <w:rPr>
                <w:rFonts w:cs="Arial"/>
                <w:sz w:val="18"/>
              </w:rPr>
            </w:pPr>
            <w:r w:rsidRPr="005C63A9">
              <w:rPr>
                <w:rFonts w:cs="Arial"/>
                <w:sz w:val="18"/>
              </w:rPr>
              <w:t>100%</w:t>
            </w:r>
          </w:p>
        </w:tc>
        <w:tc>
          <w:tcPr>
            <w:tcW w:w="3600" w:type="dxa"/>
          </w:tcPr>
          <w:p w:rsidR="00663FF1" w:rsidRPr="005C63A9" w:rsidRDefault="00663FF1" w:rsidP="006430CE">
            <w:pPr>
              <w:spacing w:line="276" w:lineRule="auto"/>
              <w:rPr>
                <w:rFonts w:cs="Arial"/>
                <w:sz w:val="18"/>
              </w:rPr>
            </w:pPr>
          </w:p>
        </w:tc>
      </w:tr>
      <w:tr w:rsidR="00663FF1" w:rsidRPr="00F77892" w:rsidTr="006430CE">
        <w:tc>
          <w:tcPr>
            <w:tcW w:w="1458" w:type="dxa"/>
          </w:tcPr>
          <w:p w:rsidR="00663FF1" w:rsidRPr="005270DD" w:rsidRDefault="00663FF1" w:rsidP="006430CE">
            <w:pPr>
              <w:spacing w:line="276" w:lineRule="auto"/>
              <w:rPr>
                <w:rFonts w:cs="Arial"/>
                <w:b/>
                <w:sz w:val="18"/>
              </w:rPr>
            </w:pPr>
            <w:r w:rsidRPr="005270DD">
              <w:rPr>
                <w:rFonts w:cs="Arial"/>
                <w:b/>
                <w:sz w:val="18"/>
              </w:rPr>
              <w:t>8. Car Control</w:t>
            </w:r>
          </w:p>
        </w:tc>
        <w:tc>
          <w:tcPr>
            <w:tcW w:w="2767" w:type="dxa"/>
          </w:tcPr>
          <w:p w:rsidR="00663FF1" w:rsidRPr="005C63A9" w:rsidRDefault="00663FF1" w:rsidP="006430CE">
            <w:pPr>
              <w:spacing w:line="276" w:lineRule="auto"/>
              <w:rPr>
                <w:rFonts w:cs="Arial"/>
                <w:sz w:val="18"/>
              </w:rPr>
            </w:pPr>
            <w:r w:rsidRPr="005C63A9">
              <w:rPr>
                <w:rFonts w:cs="Arial"/>
                <w:sz w:val="18"/>
              </w:rPr>
              <w:t>Put in place measures to cap car use. Limit</w:t>
            </w:r>
            <w:r>
              <w:rPr>
                <w:rFonts w:cs="Arial"/>
                <w:sz w:val="18"/>
              </w:rPr>
              <w:t xml:space="preserve"> </w:t>
            </w:r>
            <w:r w:rsidRPr="005C63A9">
              <w:rPr>
                <w:rFonts w:cs="Arial"/>
                <w:sz w:val="18"/>
              </w:rPr>
              <w:t xml:space="preserve">parking where there is good transit. </w:t>
            </w:r>
          </w:p>
        </w:tc>
        <w:tc>
          <w:tcPr>
            <w:tcW w:w="1890" w:type="dxa"/>
          </w:tcPr>
          <w:p w:rsidR="00663FF1" w:rsidRPr="005C63A9" w:rsidRDefault="00663FF1" w:rsidP="006430CE">
            <w:pPr>
              <w:spacing w:line="276" w:lineRule="auto"/>
              <w:rPr>
                <w:rFonts w:cs="Arial"/>
                <w:sz w:val="18"/>
              </w:rPr>
            </w:pPr>
            <w:r w:rsidRPr="005C63A9">
              <w:rPr>
                <w:rFonts w:cs="Arial"/>
                <w:sz w:val="18"/>
              </w:rPr>
              <w:t>NA</w:t>
            </w:r>
          </w:p>
          <w:p w:rsidR="00663FF1" w:rsidRPr="005C63A9" w:rsidRDefault="00663FF1" w:rsidP="006430CE">
            <w:pPr>
              <w:spacing w:line="276" w:lineRule="auto"/>
              <w:rPr>
                <w:rFonts w:cs="Arial"/>
                <w:sz w:val="18"/>
              </w:rPr>
            </w:pPr>
            <w:r>
              <w:rPr>
                <w:rFonts w:cs="Arial"/>
                <w:sz w:val="18"/>
              </w:rPr>
              <w:t xml:space="preserve"> </w:t>
            </w:r>
          </w:p>
        </w:tc>
        <w:tc>
          <w:tcPr>
            <w:tcW w:w="1800" w:type="dxa"/>
          </w:tcPr>
          <w:p w:rsidR="00663FF1" w:rsidRPr="005C63A9" w:rsidRDefault="00663FF1" w:rsidP="006430CE">
            <w:pPr>
              <w:spacing w:line="276" w:lineRule="auto"/>
              <w:rPr>
                <w:rFonts w:cs="Arial"/>
                <w:sz w:val="18"/>
              </w:rPr>
            </w:pPr>
            <w:r w:rsidRPr="005C63A9">
              <w:rPr>
                <w:rFonts w:cs="Arial"/>
                <w:sz w:val="18"/>
              </w:rPr>
              <w:t>NA</w:t>
            </w:r>
          </w:p>
        </w:tc>
        <w:tc>
          <w:tcPr>
            <w:tcW w:w="2430" w:type="dxa"/>
          </w:tcPr>
          <w:p w:rsidR="00663FF1" w:rsidRPr="005C63A9" w:rsidRDefault="00663FF1" w:rsidP="006430CE">
            <w:pPr>
              <w:spacing w:line="276" w:lineRule="auto"/>
              <w:rPr>
                <w:rFonts w:cs="Arial"/>
                <w:sz w:val="18"/>
              </w:rPr>
            </w:pPr>
            <w:r w:rsidRPr="005C63A9">
              <w:rPr>
                <w:rFonts w:cs="Arial"/>
                <w:sz w:val="18"/>
              </w:rPr>
              <w:t>Yes</w:t>
            </w:r>
          </w:p>
        </w:tc>
        <w:tc>
          <w:tcPr>
            <w:tcW w:w="3600" w:type="dxa"/>
          </w:tcPr>
          <w:p w:rsidR="00663FF1" w:rsidRPr="005C63A9" w:rsidRDefault="00663FF1" w:rsidP="006430CE">
            <w:pPr>
              <w:spacing w:line="276" w:lineRule="auto"/>
              <w:rPr>
                <w:rFonts w:cs="Arial"/>
                <w:sz w:val="18"/>
              </w:rPr>
            </w:pPr>
            <w:r w:rsidRPr="005C63A9">
              <w:rPr>
                <w:rFonts w:cs="Arial"/>
                <w:sz w:val="18"/>
              </w:rPr>
              <w:t xml:space="preserve">Parking norm for the area was set to 0.55 cars per apartment unit and that was lower than </w:t>
            </w:r>
            <w:r>
              <w:rPr>
                <w:rFonts w:cs="Arial"/>
                <w:sz w:val="18"/>
              </w:rPr>
              <w:t xml:space="preserve">the </w:t>
            </w:r>
            <w:r w:rsidRPr="005C63A9">
              <w:rPr>
                <w:rFonts w:cs="Arial"/>
                <w:sz w:val="18"/>
              </w:rPr>
              <w:t>normal parking norm in the city (set at 1</w:t>
            </w:r>
            <w:r>
              <w:rPr>
                <w:rFonts w:cs="Arial"/>
                <w:sz w:val="18"/>
              </w:rPr>
              <w:t>.</w:t>
            </w:r>
            <w:r w:rsidRPr="005C63A9">
              <w:rPr>
                <w:rFonts w:cs="Arial"/>
                <w:sz w:val="18"/>
              </w:rPr>
              <w:t>0)</w:t>
            </w:r>
            <w:r>
              <w:rPr>
                <w:rFonts w:cs="Arial"/>
                <w:sz w:val="18"/>
              </w:rPr>
              <w:t>.</w:t>
            </w:r>
          </w:p>
        </w:tc>
      </w:tr>
      <w:tr w:rsidR="00663FF1" w:rsidRPr="00F77892" w:rsidTr="006430CE">
        <w:tc>
          <w:tcPr>
            <w:tcW w:w="1458" w:type="dxa"/>
          </w:tcPr>
          <w:p w:rsidR="00663FF1" w:rsidRPr="005270DD" w:rsidRDefault="00663FF1" w:rsidP="006430CE">
            <w:pPr>
              <w:spacing w:line="276" w:lineRule="auto"/>
              <w:rPr>
                <w:b/>
                <w:sz w:val="18"/>
              </w:rPr>
            </w:pPr>
            <w:r w:rsidRPr="005270DD">
              <w:rPr>
                <w:b/>
                <w:sz w:val="18"/>
              </w:rPr>
              <w:t>9. Green Buildings</w:t>
            </w:r>
          </w:p>
        </w:tc>
        <w:tc>
          <w:tcPr>
            <w:tcW w:w="2767" w:type="dxa"/>
          </w:tcPr>
          <w:p w:rsidR="00663FF1" w:rsidRPr="005C63A9" w:rsidRDefault="00663FF1" w:rsidP="006430CE">
            <w:pPr>
              <w:spacing w:line="276" w:lineRule="auto"/>
              <w:rPr>
                <w:sz w:val="18"/>
              </w:rPr>
            </w:pPr>
            <w:r w:rsidRPr="005C63A9">
              <w:rPr>
                <w:sz w:val="18"/>
              </w:rPr>
              <w:t>Construct high quality, resource efficient buildings</w:t>
            </w:r>
          </w:p>
        </w:tc>
        <w:tc>
          <w:tcPr>
            <w:tcW w:w="1890" w:type="dxa"/>
          </w:tcPr>
          <w:p w:rsidR="00663FF1" w:rsidRPr="005C63A9" w:rsidRDefault="00663FF1" w:rsidP="006430CE">
            <w:pPr>
              <w:spacing w:line="276" w:lineRule="auto"/>
              <w:rPr>
                <w:sz w:val="18"/>
              </w:rPr>
            </w:pPr>
            <w:r w:rsidRPr="005C63A9">
              <w:rPr>
                <w:sz w:val="18"/>
              </w:rPr>
              <w:t>MOHURD green building standa</w:t>
            </w:r>
            <w:r>
              <w:rPr>
                <w:sz w:val="18"/>
              </w:rPr>
              <w:t>r</w:t>
            </w:r>
            <w:r w:rsidRPr="005C63A9">
              <w:rPr>
                <w:sz w:val="18"/>
              </w:rPr>
              <w:t>d</w:t>
            </w:r>
          </w:p>
          <w:p w:rsidR="00663FF1" w:rsidRPr="005C63A9" w:rsidRDefault="00663FF1" w:rsidP="006430CE">
            <w:pPr>
              <w:spacing w:line="276" w:lineRule="auto"/>
              <w:rPr>
                <w:sz w:val="18"/>
              </w:rPr>
            </w:pPr>
          </w:p>
        </w:tc>
        <w:tc>
          <w:tcPr>
            <w:tcW w:w="1800" w:type="dxa"/>
          </w:tcPr>
          <w:p w:rsidR="00663FF1" w:rsidRPr="00C14344" w:rsidRDefault="00663FF1" w:rsidP="006430CE">
            <w:pPr>
              <w:spacing w:line="276" w:lineRule="auto"/>
              <w:rPr>
                <w:sz w:val="18"/>
              </w:rPr>
            </w:pPr>
            <w:r w:rsidRPr="00C14344">
              <w:rPr>
                <w:sz w:val="18"/>
              </w:rPr>
              <w:t>≥ 70% 1-star</w:t>
            </w:r>
            <w:r>
              <w:rPr>
                <w:sz w:val="18"/>
              </w:rPr>
              <w:t xml:space="preserve">; </w:t>
            </w:r>
            <w:r w:rsidRPr="00C14344">
              <w:rPr>
                <w:sz w:val="18"/>
              </w:rPr>
              <w:t>20% to 40% 2-star</w:t>
            </w:r>
            <w:r>
              <w:rPr>
                <w:sz w:val="18"/>
              </w:rPr>
              <w:t xml:space="preserve">; </w:t>
            </w:r>
            <w:r w:rsidRPr="00C14344">
              <w:rPr>
                <w:sz w:val="18"/>
              </w:rPr>
              <w:t>5% to 15% 3-star</w:t>
            </w:r>
          </w:p>
        </w:tc>
        <w:tc>
          <w:tcPr>
            <w:tcW w:w="2430" w:type="dxa"/>
          </w:tcPr>
          <w:p w:rsidR="00663FF1" w:rsidRPr="005C63A9" w:rsidRDefault="00663FF1" w:rsidP="006430CE">
            <w:pPr>
              <w:spacing w:line="276" w:lineRule="auto"/>
              <w:rPr>
                <w:sz w:val="18"/>
              </w:rPr>
            </w:pPr>
            <w:r w:rsidRPr="005C63A9">
              <w:rPr>
                <w:sz w:val="18"/>
              </w:rPr>
              <w:t>NA in Sweden</w:t>
            </w:r>
          </w:p>
        </w:tc>
        <w:tc>
          <w:tcPr>
            <w:tcW w:w="3600" w:type="dxa"/>
          </w:tcPr>
          <w:p w:rsidR="00663FF1" w:rsidRPr="005C63A9" w:rsidRDefault="00663FF1" w:rsidP="006430CE">
            <w:pPr>
              <w:spacing w:line="276" w:lineRule="auto"/>
              <w:rPr>
                <w:sz w:val="18"/>
              </w:rPr>
            </w:pPr>
            <w:r w:rsidRPr="005C63A9">
              <w:rPr>
                <w:sz w:val="18"/>
              </w:rPr>
              <w:t xml:space="preserve">Buildings are classified according </w:t>
            </w:r>
            <w:r>
              <w:rPr>
                <w:sz w:val="18"/>
              </w:rPr>
              <w:t>by</w:t>
            </w:r>
            <w:r w:rsidRPr="005C63A9">
              <w:rPr>
                <w:sz w:val="18"/>
              </w:rPr>
              <w:t xml:space="preserve"> </w:t>
            </w:r>
            <w:r>
              <w:rPr>
                <w:sz w:val="18"/>
              </w:rPr>
              <w:t>4 classification systems: Environmental Building, Green Building, LEED, and BREEAM. The average energy use for buildings in Hammarby is 113 kWh/m</w:t>
            </w:r>
            <w:r w:rsidRPr="0061492A">
              <w:rPr>
                <w:sz w:val="18"/>
                <w:vertAlign w:val="superscript"/>
              </w:rPr>
              <w:t>2</w:t>
            </w:r>
            <w:r>
              <w:rPr>
                <w:sz w:val="18"/>
              </w:rPr>
              <w:t xml:space="preserve">/year. </w:t>
            </w:r>
          </w:p>
        </w:tc>
      </w:tr>
      <w:tr w:rsidR="00663FF1" w:rsidRPr="00F77892" w:rsidTr="006430CE">
        <w:trPr>
          <w:trHeight w:val="63"/>
        </w:trPr>
        <w:tc>
          <w:tcPr>
            <w:tcW w:w="1458" w:type="dxa"/>
            <w:vMerge w:val="restart"/>
          </w:tcPr>
          <w:p w:rsidR="00663FF1" w:rsidRPr="005270DD" w:rsidRDefault="00663FF1" w:rsidP="006430CE">
            <w:pPr>
              <w:spacing w:line="276" w:lineRule="auto"/>
              <w:rPr>
                <w:b/>
                <w:sz w:val="18"/>
              </w:rPr>
            </w:pPr>
            <w:r w:rsidRPr="005270DD">
              <w:rPr>
                <w:b/>
                <w:sz w:val="18"/>
              </w:rPr>
              <w:t>10. Renewable and District Energy</w:t>
            </w:r>
          </w:p>
          <w:p w:rsidR="00663FF1" w:rsidRPr="005270DD" w:rsidRDefault="00663FF1" w:rsidP="006430CE">
            <w:pPr>
              <w:spacing w:line="276" w:lineRule="auto"/>
              <w:rPr>
                <w:b/>
                <w:sz w:val="18"/>
              </w:rPr>
            </w:pPr>
          </w:p>
        </w:tc>
        <w:tc>
          <w:tcPr>
            <w:tcW w:w="2767" w:type="dxa"/>
          </w:tcPr>
          <w:p w:rsidR="00663FF1" w:rsidRPr="005C63A9" w:rsidRDefault="00663FF1" w:rsidP="006430CE">
            <w:pPr>
              <w:spacing w:line="276" w:lineRule="auto"/>
              <w:rPr>
                <w:sz w:val="18"/>
              </w:rPr>
            </w:pPr>
            <w:r w:rsidRPr="005C63A9">
              <w:rPr>
                <w:sz w:val="18"/>
              </w:rPr>
              <w:t>Every project should analyze the potential for district energy</w:t>
            </w:r>
          </w:p>
        </w:tc>
        <w:tc>
          <w:tcPr>
            <w:tcW w:w="1890" w:type="dxa"/>
          </w:tcPr>
          <w:p w:rsidR="00663FF1" w:rsidRPr="005C63A9" w:rsidRDefault="00663FF1" w:rsidP="006430CE">
            <w:pPr>
              <w:spacing w:line="276" w:lineRule="auto"/>
              <w:rPr>
                <w:sz w:val="18"/>
              </w:rPr>
            </w:pPr>
            <w:r w:rsidRPr="005C63A9">
              <w:rPr>
                <w:sz w:val="18"/>
              </w:rPr>
              <w:t>N/A</w:t>
            </w:r>
          </w:p>
        </w:tc>
        <w:tc>
          <w:tcPr>
            <w:tcW w:w="1800" w:type="dxa"/>
          </w:tcPr>
          <w:p w:rsidR="00663FF1" w:rsidRPr="005C63A9" w:rsidRDefault="00663FF1" w:rsidP="006430CE">
            <w:pPr>
              <w:spacing w:line="276" w:lineRule="auto"/>
              <w:rPr>
                <w:sz w:val="18"/>
              </w:rPr>
            </w:pPr>
            <w:r w:rsidRPr="005C63A9">
              <w:rPr>
                <w:sz w:val="18"/>
              </w:rPr>
              <w:t>NA</w:t>
            </w:r>
          </w:p>
        </w:tc>
        <w:tc>
          <w:tcPr>
            <w:tcW w:w="2430" w:type="dxa"/>
          </w:tcPr>
          <w:p w:rsidR="00663FF1" w:rsidRPr="005C63A9" w:rsidRDefault="00663FF1" w:rsidP="006430CE">
            <w:pPr>
              <w:spacing w:line="276" w:lineRule="auto"/>
              <w:rPr>
                <w:sz w:val="18"/>
              </w:rPr>
            </w:pPr>
            <w:r w:rsidRPr="005C63A9">
              <w:rPr>
                <w:sz w:val="18"/>
              </w:rPr>
              <w:t>Yes</w:t>
            </w:r>
          </w:p>
        </w:tc>
        <w:tc>
          <w:tcPr>
            <w:tcW w:w="3600" w:type="dxa"/>
          </w:tcPr>
          <w:p w:rsidR="00663FF1" w:rsidRPr="005C63A9" w:rsidRDefault="00663FF1" w:rsidP="006430CE">
            <w:pPr>
              <w:spacing w:line="276" w:lineRule="auto"/>
              <w:rPr>
                <w:sz w:val="18"/>
              </w:rPr>
            </w:pPr>
            <w:r w:rsidRPr="005C63A9">
              <w:rPr>
                <w:sz w:val="18"/>
              </w:rPr>
              <w:t xml:space="preserve">Hammarby boasts an impressive integrated district system. </w:t>
            </w:r>
            <w:r>
              <w:rPr>
                <w:sz w:val="18"/>
              </w:rPr>
              <w:t>This includes d</w:t>
            </w:r>
            <w:r w:rsidRPr="005C63A9">
              <w:rPr>
                <w:sz w:val="18"/>
              </w:rPr>
              <w:t>istrict wide energy in the forms of heat</w:t>
            </w:r>
            <w:r>
              <w:rPr>
                <w:sz w:val="18"/>
              </w:rPr>
              <w:t>ing</w:t>
            </w:r>
            <w:r w:rsidRPr="005C63A9">
              <w:rPr>
                <w:sz w:val="18"/>
              </w:rPr>
              <w:t>, co</w:t>
            </w:r>
            <w:r>
              <w:rPr>
                <w:sz w:val="18"/>
              </w:rPr>
              <w:t>oling</w:t>
            </w:r>
            <w:r w:rsidRPr="005C63A9">
              <w:rPr>
                <w:sz w:val="18"/>
              </w:rPr>
              <w:t>, electricity</w:t>
            </w:r>
            <w:r>
              <w:rPr>
                <w:sz w:val="18"/>
              </w:rPr>
              <w:t>,</w:t>
            </w:r>
            <w:r w:rsidRPr="005C63A9">
              <w:rPr>
                <w:sz w:val="18"/>
              </w:rPr>
              <w:t xml:space="preserve"> and biogas (for some 1000 household stoves).</w:t>
            </w:r>
          </w:p>
        </w:tc>
      </w:tr>
      <w:tr w:rsidR="00663FF1" w:rsidRPr="00F77892" w:rsidTr="006430CE">
        <w:trPr>
          <w:trHeight w:val="63"/>
        </w:trPr>
        <w:tc>
          <w:tcPr>
            <w:tcW w:w="1458" w:type="dxa"/>
            <w:vMerge/>
          </w:tcPr>
          <w:p w:rsidR="00663FF1" w:rsidRPr="005270DD" w:rsidRDefault="00663FF1" w:rsidP="006430CE">
            <w:pPr>
              <w:spacing w:line="276" w:lineRule="auto"/>
              <w:rPr>
                <w:b/>
                <w:sz w:val="18"/>
              </w:rPr>
            </w:pPr>
          </w:p>
        </w:tc>
        <w:tc>
          <w:tcPr>
            <w:tcW w:w="2767" w:type="dxa"/>
          </w:tcPr>
          <w:p w:rsidR="00663FF1" w:rsidRPr="005C63A9" w:rsidRDefault="00663FF1" w:rsidP="006430CE">
            <w:pPr>
              <w:spacing w:line="276" w:lineRule="auto"/>
              <w:rPr>
                <w:sz w:val="18"/>
              </w:rPr>
            </w:pPr>
            <w:r w:rsidRPr="005C63A9">
              <w:rPr>
                <w:sz w:val="18"/>
              </w:rPr>
              <w:t>Look for opportunities to use local source</w:t>
            </w:r>
            <w:r>
              <w:rPr>
                <w:sz w:val="18"/>
              </w:rPr>
              <w:t>s</w:t>
            </w:r>
            <w:r w:rsidRPr="005C63A9">
              <w:rPr>
                <w:sz w:val="18"/>
              </w:rPr>
              <w:t xml:space="preserve"> of renewable energy</w:t>
            </w:r>
          </w:p>
        </w:tc>
        <w:tc>
          <w:tcPr>
            <w:tcW w:w="1890" w:type="dxa"/>
          </w:tcPr>
          <w:p w:rsidR="00663FF1" w:rsidRPr="005C63A9" w:rsidRDefault="00663FF1" w:rsidP="006430CE">
            <w:pPr>
              <w:spacing w:line="276" w:lineRule="auto"/>
              <w:rPr>
                <w:sz w:val="18"/>
              </w:rPr>
            </w:pPr>
            <w:r w:rsidRPr="005C63A9">
              <w:rPr>
                <w:sz w:val="18"/>
              </w:rPr>
              <w:t xml:space="preserve">% of electricity </w:t>
            </w:r>
            <w:r>
              <w:rPr>
                <w:sz w:val="18"/>
              </w:rPr>
              <w:t>from</w:t>
            </w:r>
            <w:r w:rsidRPr="005C63A9">
              <w:rPr>
                <w:sz w:val="18"/>
              </w:rPr>
              <w:t xml:space="preserve"> locally-generated renewable sources</w:t>
            </w:r>
          </w:p>
          <w:p w:rsidR="00663FF1" w:rsidRPr="005C63A9" w:rsidRDefault="00663FF1" w:rsidP="006430CE">
            <w:pPr>
              <w:spacing w:line="276" w:lineRule="auto"/>
              <w:rPr>
                <w:sz w:val="18"/>
              </w:rPr>
            </w:pPr>
          </w:p>
        </w:tc>
        <w:tc>
          <w:tcPr>
            <w:tcW w:w="1800" w:type="dxa"/>
          </w:tcPr>
          <w:p w:rsidR="00663FF1" w:rsidRPr="005C63A9" w:rsidRDefault="00663FF1" w:rsidP="006430CE">
            <w:pPr>
              <w:spacing w:line="276" w:lineRule="auto"/>
              <w:rPr>
                <w:sz w:val="18"/>
              </w:rPr>
            </w:pPr>
            <w:r w:rsidRPr="005C63A9">
              <w:rPr>
                <w:sz w:val="18"/>
              </w:rPr>
              <w:t xml:space="preserve">5% to 15% </w:t>
            </w:r>
            <w:r>
              <w:rPr>
                <w:sz w:val="18"/>
              </w:rPr>
              <w:t>for</w:t>
            </w:r>
            <w:r w:rsidRPr="005C63A9">
              <w:rPr>
                <w:sz w:val="18"/>
              </w:rPr>
              <w:t xml:space="preserve"> residential areas</w:t>
            </w:r>
          </w:p>
          <w:p w:rsidR="00663FF1" w:rsidRDefault="00663FF1" w:rsidP="006430CE">
            <w:pPr>
              <w:spacing w:line="276" w:lineRule="auto"/>
              <w:rPr>
                <w:sz w:val="18"/>
              </w:rPr>
            </w:pPr>
          </w:p>
          <w:p w:rsidR="00663FF1" w:rsidRPr="005C63A9" w:rsidRDefault="00663FF1" w:rsidP="006430CE">
            <w:pPr>
              <w:spacing w:line="276" w:lineRule="auto"/>
              <w:rPr>
                <w:sz w:val="18"/>
              </w:rPr>
            </w:pPr>
            <w:r w:rsidRPr="005C63A9">
              <w:rPr>
                <w:sz w:val="18"/>
              </w:rPr>
              <w:t xml:space="preserve">2% to 5% </w:t>
            </w:r>
            <w:r>
              <w:rPr>
                <w:sz w:val="18"/>
              </w:rPr>
              <w:t>for</w:t>
            </w:r>
            <w:r w:rsidRPr="005C63A9">
              <w:rPr>
                <w:sz w:val="18"/>
              </w:rPr>
              <w:t xml:space="preserve"> commercial areas</w:t>
            </w:r>
          </w:p>
        </w:tc>
        <w:tc>
          <w:tcPr>
            <w:tcW w:w="2430" w:type="dxa"/>
          </w:tcPr>
          <w:p w:rsidR="00663FF1" w:rsidRPr="005C63A9" w:rsidRDefault="00663FF1" w:rsidP="006430CE">
            <w:pPr>
              <w:spacing w:line="276" w:lineRule="auto"/>
              <w:rPr>
                <w:sz w:val="18"/>
              </w:rPr>
            </w:pPr>
            <w:r w:rsidRPr="005C63A9">
              <w:rPr>
                <w:sz w:val="18"/>
              </w:rPr>
              <w:t>Approximately 50.5%</w:t>
            </w:r>
          </w:p>
          <w:p w:rsidR="00663FF1" w:rsidRPr="005C63A9" w:rsidRDefault="00663FF1" w:rsidP="00663FF1">
            <w:pPr>
              <w:pStyle w:val="Liststycke"/>
              <w:numPr>
                <w:ilvl w:val="0"/>
                <w:numId w:val="2"/>
              </w:numPr>
              <w:pBdr>
                <w:left w:val="none" w:sz="0" w:space="0" w:color="auto"/>
              </w:pBdr>
              <w:tabs>
                <w:tab w:val="clear" w:pos="0"/>
                <w:tab w:val="clear" w:pos="567"/>
                <w:tab w:val="clear" w:pos="1276"/>
                <w:tab w:val="clear" w:pos="1440"/>
                <w:tab w:val="clear" w:pos="2552"/>
                <w:tab w:val="clear" w:pos="3828"/>
                <w:tab w:val="clear" w:pos="5103"/>
                <w:tab w:val="clear" w:pos="6379"/>
                <w:tab w:val="clear" w:pos="8364"/>
              </w:tabs>
              <w:spacing w:line="276" w:lineRule="auto"/>
              <w:ind w:left="162" w:hanging="174"/>
              <w:rPr>
                <w:sz w:val="18"/>
              </w:rPr>
            </w:pPr>
            <w:r w:rsidRPr="005C63A9">
              <w:rPr>
                <w:sz w:val="18"/>
              </w:rPr>
              <w:t xml:space="preserve">50% </w:t>
            </w:r>
            <w:r>
              <w:rPr>
                <w:sz w:val="18"/>
              </w:rPr>
              <w:t>of energy is recovered from</w:t>
            </w:r>
            <w:r w:rsidRPr="005C63A9">
              <w:rPr>
                <w:sz w:val="18"/>
              </w:rPr>
              <w:t xml:space="preserve"> waste</w:t>
            </w:r>
          </w:p>
          <w:p w:rsidR="00663FF1" w:rsidRPr="005C63A9" w:rsidRDefault="00663FF1" w:rsidP="00663FF1">
            <w:pPr>
              <w:pStyle w:val="Liststycke"/>
              <w:numPr>
                <w:ilvl w:val="0"/>
                <w:numId w:val="2"/>
              </w:numPr>
              <w:pBdr>
                <w:left w:val="none" w:sz="0" w:space="0" w:color="auto"/>
              </w:pBdr>
              <w:tabs>
                <w:tab w:val="clear" w:pos="0"/>
                <w:tab w:val="clear" w:pos="567"/>
                <w:tab w:val="clear" w:pos="1276"/>
                <w:tab w:val="clear" w:pos="1440"/>
                <w:tab w:val="clear" w:pos="2552"/>
                <w:tab w:val="clear" w:pos="3828"/>
                <w:tab w:val="clear" w:pos="5103"/>
                <w:tab w:val="clear" w:pos="6379"/>
                <w:tab w:val="clear" w:pos="8364"/>
              </w:tabs>
              <w:spacing w:line="276" w:lineRule="auto"/>
              <w:ind w:left="162" w:hanging="174"/>
              <w:rPr>
                <w:sz w:val="18"/>
              </w:rPr>
            </w:pPr>
            <w:r w:rsidRPr="005C63A9">
              <w:rPr>
                <w:sz w:val="18"/>
              </w:rPr>
              <w:t>0.5% rooftop solar</w:t>
            </w:r>
            <w:r>
              <w:rPr>
                <w:sz w:val="18"/>
              </w:rPr>
              <w:t xml:space="preserve"> used for heating supply not district heating</w:t>
            </w:r>
          </w:p>
        </w:tc>
        <w:tc>
          <w:tcPr>
            <w:tcW w:w="3600" w:type="dxa"/>
          </w:tcPr>
          <w:p w:rsidR="00663FF1" w:rsidRPr="005C63A9" w:rsidRDefault="00663FF1" w:rsidP="006430CE">
            <w:pPr>
              <w:spacing w:line="276" w:lineRule="auto"/>
              <w:rPr>
                <w:sz w:val="18"/>
              </w:rPr>
            </w:pPr>
          </w:p>
        </w:tc>
      </w:tr>
      <w:tr w:rsidR="00663FF1" w:rsidRPr="00F77892" w:rsidTr="006430CE">
        <w:trPr>
          <w:trHeight w:val="63"/>
        </w:trPr>
        <w:tc>
          <w:tcPr>
            <w:tcW w:w="1458" w:type="dxa"/>
            <w:vMerge w:val="restart"/>
          </w:tcPr>
          <w:p w:rsidR="00663FF1" w:rsidRPr="005270DD" w:rsidRDefault="00663FF1" w:rsidP="006430CE">
            <w:pPr>
              <w:spacing w:line="276" w:lineRule="auto"/>
              <w:rPr>
                <w:b/>
                <w:sz w:val="18"/>
              </w:rPr>
            </w:pPr>
            <w:r w:rsidRPr="005270DD">
              <w:rPr>
                <w:b/>
                <w:sz w:val="18"/>
              </w:rPr>
              <w:lastRenderedPageBreak/>
              <w:t>11. Waste Management</w:t>
            </w:r>
          </w:p>
          <w:p w:rsidR="00663FF1" w:rsidRPr="005270DD" w:rsidRDefault="00663FF1" w:rsidP="006430CE">
            <w:pPr>
              <w:spacing w:line="276" w:lineRule="auto"/>
              <w:rPr>
                <w:b/>
                <w:sz w:val="18"/>
              </w:rPr>
            </w:pPr>
          </w:p>
          <w:p w:rsidR="00663FF1" w:rsidRPr="005270DD" w:rsidRDefault="00663FF1" w:rsidP="006430CE">
            <w:pPr>
              <w:spacing w:line="276" w:lineRule="auto"/>
              <w:rPr>
                <w:b/>
                <w:sz w:val="18"/>
              </w:rPr>
            </w:pPr>
          </w:p>
        </w:tc>
        <w:tc>
          <w:tcPr>
            <w:tcW w:w="2767" w:type="dxa"/>
          </w:tcPr>
          <w:p w:rsidR="00663FF1" w:rsidRPr="005C63A9" w:rsidRDefault="00663FF1" w:rsidP="006430CE">
            <w:pPr>
              <w:spacing w:line="276" w:lineRule="auto"/>
              <w:rPr>
                <w:sz w:val="18"/>
              </w:rPr>
            </w:pPr>
            <w:r w:rsidRPr="005C63A9">
              <w:rPr>
                <w:sz w:val="18"/>
              </w:rPr>
              <w:t>Classify waste for its best use</w:t>
            </w:r>
            <w:r>
              <w:rPr>
                <w:rStyle w:val="Fotnotsreferens"/>
                <w:sz w:val="18"/>
              </w:rPr>
              <w:footnoteReference w:id="3"/>
            </w:r>
          </w:p>
        </w:tc>
        <w:tc>
          <w:tcPr>
            <w:tcW w:w="1890" w:type="dxa"/>
          </w:tcPr>
          <w:p w:rsidR="00663FF1" w:rsidRPr="005C63A9" w:rsidRDefault="00663FF1" w:rsidP="006430CE">
            <w:pPr>
              <w:spacing w:line="276" w:lineRule="auto"/>
              <w:rPr>
                <w:sz w:val="18"/>
              </w:rPr>
            </w:pPr>
            <w:r w:rsidRPr="005C63A9">
              <w:rPr>
                <w:sz w:val="18"/>
              </w:rPr>
              <w:t xml:space="preserve">All buildings </w:t>
            </w:r>
            <w:r>
              <w:rPr>
                <w:sz w:val="18"/>
              </w:rPr>
              <w:t>should have waste sorting</w:t>
            </w:r>
            <w:r w:rsidRPr="005C63A9">
              <w:rPr>
                <w:sz w:val="18"/>
              </w:rPr>
              <w:t xml:space="preserve"> facilities, enabling all waste to be sorted</w:t>
            </w:r>
          </w:p>
        </w:tc>
        <w:tc>
          <w:tcPr>
            <w:tcW w:w="1800" w:type="dxa"/>
          </w:tcPr>
          <w:p w:rsidR="00663FF1" w:rsidRPr="005C63A9" w:rsidRDefault="00663FF1" w:rsidP="006430CE">
            <w:pPr>
              <w:spacing w:line="276" w:lineRule="auto"/>
              <w:rPr>
                <w:sz w:val="18"/>
              </w:rPr>
            </w:pPr>
            <w:r w:rsidRPr="005C63A9">
              <w:rPr>
                <w:sz w:val="18"/>
              </w:rPr>
              <w:t>100%</w:t>
            </w:r>
          </w:p>
        </w:tc>
        <w:tc>
          <w:tcPr>
            <w:tcW w:w="2430" w:type="dxa"/>
          </w:tcPr>
          <w:p w:rsidR="00663FF1" w:rsidRPr="005C63A9" w:rsidRDefault="00663FF1" w:rsidP="006430CE">
            <w:pPr>
              <w:spacing w:line="276" w:lineRule="auto"/>
              <w:rPr>
                <w:sz w:val="18"/>
              </w:rPr>
            </w:pPr>
            <w:r w:rsidRPr="005C63A9">
              <w:rPr>
                <w:sz w:val="18"/>
              </w:rPr>
              <w:t>100%</w:t>
            </w:r>
          </w:p>
        </w:tc>
        <w:tc>
          <w:tcPr>
            <w:tcW w:w="3600" w:type="dxa"/>
          </w:tcPr>
          <w:p w:rsidR="00663FF1" w:rsidRPr="005C63A9" w:rsidRDefault="00663FF1" w:rsidP="006430CE">
            <w:pPr>
              <w:spacing w:line="276" w:lineRule="auto"/>
              <w:rPr>
                <w:sz w:val="18"/>
              </w:rPr>
            </w:pPr>
            <w:r>
              <w:rPr>
                <w:sz w:val="18"/>
              </w:rPr>
              <w:t xml:space="preserve">In Hammarby, there are by Swedish definition no waste classification facilities. </w:t>
            </w:r>
            <w:proofErr w:type="gramStart"/>
            <w:r>
              <w:rPr>
                <w:sz w:val="18"/>
              </w:rPr>
              <w:t>However</w:t>
            </w:r>
            <w:proofErr w:type="gramEnd"/>
            <w:r>
              <w:rPr>
                <w:sz w:val="18"/>
              </w:rPr>
              <w:t xml:space="preserve"> there are systems in place to allow for source separation of waste.</w:t>
            </w:r>
          </w:p>
        </w:tc>
      </w:tr>
      <w:tr w:rsidR="00663FF1" w:rsidRPr="00F77892" w:rsidTr="006430CE">
        <w:tc>
          <w:tcPr>
            <w:tcW w:w="1458" w:type="dxa"/>
            <w:vMerge/>
          </w:tcPr>
          <w:p w:rsidR="00663FF1" w:rsidRPr="005270DD" w:rsidRDefault="00663FF1" w:rsidP="006430CE">
            <w:pPr>
              <w:spacing w:line="276" w:lineRule="auto"/>
              <w:rPr>
                <w:b/>
                <w:sz w:val="18"/>
              </w:rPr>
            </w:pPr>
          </w:p>
        </w:tc>
        <w:tc>
          <w:tcPr>
            <w:tcW w:w="2767" w:type="dxa"/>
          </w:tcPr>
          <w:p w:rsidR="00663FF1" w:rsidRPr="005C63A9" w:rsidRDefault="00663FF1" w:rsidP="006430CE">
            <w:pPr>
              <w:spacing w:line="276" w:lineRule="auto"/>
              <w:rPr>
                <w:sz w:val="18"/>
              </w:rPr>
            </w:pPr>
            <w:r w:rsidRPr="005C63A9">
              <w:rPr>
                <w:sz w:val="18"/>
              </w:rPr>
              <w:t>Compost organic waste</w:t>
            </w:r>
          </w:p>
        </w:tc>
        <w:tc>
          <w:tcPr>
            <w:tcW w:w="1890" w:type="dxa"/>
          </w:tcPr>
          <w:p w:rsidR="00663FF1" w:rsidRPr="005C63A9" w:rsidRDefault="00663FF1" w:rsidP="006430CE">
            <w:pPr>
              <w:spacing w:line="276" w:lineRule="auto"/>
              <w:rPr>
                <w:sz w:val="18"/>
              </w:rPr>
            </w:pPr>
            <w:r w:rsidRPr="005C63A9">
              <w:rPr>
                <w:sz w:val="18"/>
              </w:rPr>
              <w:t>% of waste composted</w:t>
            </w:r>
          </w:p>
        </w:tc>
        <w:tc>
          <w:tcPr>
            <w:tcW w:w="1800" w:type="dxa"/>
          </w:tcPr>
          <w:p w:rsidR="00663FF1" w:rsidRPr="005C63A9" w:rsidRDefault="00663FF1" w:rsidP="006430CE">
            <w:pPr>
              <w:spacing w:line="276" w:lineRule="auto"/>
              <w:rPr>
                <w:sz w:val="18"/>
              </w:rPr>
            </w:pPr>
            <w:r w:rsidRPr="005C63A9">
              <w:rPr>
                <w:sz w:val="18"/>
              </w:rPr>
              <w:t>30-50%</w:t>
            </w:r>
          </w:p>
        </w:tc>
        <w:tc>
          <w:tcPr>
            <w:tcW w:w="2430" w:type="dxa"/>
          </w:tcPr>
          <w:p w:rsidR="00663FF1" w:rsidRPr="005C63A9" w:rsidRDefault="00663FF1" w:rsidP="006430CE">
            <w:pPr>
              <w:spacing w:line="276" w:lineRule="auto"/>
              <w:rPr>
                <w:rFonts w:cs="Arial"/>
                <w:sz w:val="18"/>
              </w:rPr>
            </w:pPr>
            <w:r w:rsidRPr="005C63A9">
              <w:rPr>
                <w:rFonts w:cs="Arial"/>
                <w:sz w:val="18"/>
              </w:rPr>
              <w:t xml:space="preserve">Food waste: </w:t>
            </w:r>
          </w:p>
          <w:p w:rsidR="00663FF1" w:rsidRPr="005C63A9" w:rsidRDefault="00663FF1" w:rsidP="006430CE">
            <w:pPr>
              <w:spacing w:line="276" w:lineRule="auto"/>
              <w:rPr>
                <w:rFonts w:cs="Arial"/>
                <w:sz w:val="18"/>
              </w:rPr>
            </w:pPr>
            <w:r w:rsidRPr="005C63A9">
              <w:rPr>
                <w:rFonts w:cs="Arial"/>
                <w:sz w:val="18"/>
              </w:rPr>
              <w:t>35% of total household waste by weight</w:t>
            </w:r>
          </w:p>
          <w:p w:rsidR="00663FF1" w:rsidRPr="005C63A9" w:rsidRDefault="00663FF1" w:rsidP="006430CE">
            <w:pPr>
              <w:spacing w:line="276" w:lineRule="auto"/>
              <w:rPr>
                <w:rFonts w:cs="Arial"/>
                <w:sz w:val="18"/>
              </w:rPr>
            </w:pPr>
          </w:p>
          <w:p w:rsidR="00663FF1" w:rsidRPr="005C63A9" w:rsidRDefault="00663FF1" w:rsidP="006430CE">
            <w:pPr>
              <w:spacing w:line="276" w:lineRule="auto"/>
              <w:rPr>
                <w:rFonts w:cs="Arial"/>
                <w:sz w:val="18"/>
              </w:rPr>
            </w:pPr>
            <w:r w:rsidRPr="005C63A9">
              <w:rPr>
                <w:rFonts w:cs="Arial"/>
                <w:sz w:val="18"/>
              </w:rPr>
              <w:t xml:space="preserve">50% of waste is separated and about 90% of the separated food waste </w:t>
            </w:r>
            <w:r>
              <w:rPr>
                <w:rFonts w:cs="Arial"/>
                <w:sz w:val="18"/>
              </w:rPr>
              <w:t xml:space="preserve">is </w:t>
            </w:r>
            <w:r w:rsidRPr="005C63A9">
              <w:rPr>
                <w:rFonts w:cs="Arial"/>
                <w:sz w:val="18"/>
              </w:rPr>
              <w:t>converted into biogas.</w:t>
            </w:r>
          </w:p>
        </w:tc>
        <w:tc>
          <w:tcPr>
            <w:tcW w:w="3600" w:type="dxa"/>
          </w:tcPr>
          <w:p w:rsidR="00663FF1" w:rsidRPr="005C63A9" w:rsidRDefault="00663FF1" w:rsidP="006430CE">
            <w:pPr>
              <w:spacing w:line="276" w:lineRule="auto"/>
              <w:rPr>
                <w:sz w:val="18"/>
              </w:rPr>
            </w:pPr>
            <w:r w:rsidRPr="005C63A9">
              <w:rPr>
                <w:rFonts w:cs="Arial"/>
                <w:sz w:val="18"/>
              </w:rPr>
              <w:t>Most organic solid waste used as an energy source. None is composted.</w:t>
            </w:r>
          </w:p>
        </w:tc>
      </w:tr>
      <w:tr w:rsidR="00663FF1" w:rsidRPr="00F77892" w:rsidTr="006430CE">
        <w:tc>
          <w:tcPr>
            <w:tcW w:w="1458" w:type="dxa"/>
            <w:vMerge/>
          </w:tcPr>
          <w:p w:rsidR="00663FF1" w:rsidRPr="005270DD" w:rsidRDefault="00663FF1" w:rsidP="006430CE">
            <w:pPr>
              <w:spacing w:line="276" w:lineRule="auto"/>
              <w:rPr>
                <w:b/>
                <w:sz w:val="18"/>
              </w:rPr>
            </w:pPr>
          </w:p>
        </w:tc>
        <w:tc>
          <w:tcPr>
            <w:tcW w:w="2767" w:type="dxa"/>
          </w:tcPr>
          <w:p w:rsidR="00663FF1" w:rsidRPr="005C63A9" w:rsidRDefault="00663FF1" w:rsidP="006430CE">
            <w:pPr>
              <w:spacing w:line="276" w:lineRule="auto"/>
              <w:rPr>
                <w:sz w:val="18"/>
              </w:rPr>
            </w:pPr>
            <w:r w:rsidRPr="005C63A9">
              <w:rPr>
                <w:sz w:val="18"/>
              </w:rPr>
              <w:t>Resource efficiency</w:t>
            </w:r>
          </w:p>
        </w:tc>
        <w:tc>
          <w:tcPr>
            <w:tcW w:w="1890" w:type="dxa"/>
          </w:tcPr>
          <w:p w:rsidR="00663FF1" w:rsidRPr="005C63A9" w:rsidRDefault="00663FF1" w:rsidP="006430CE">
            <w:pPr>
              <w:spacing w:line="276" w:lineRule="auto"/>
              <w:rPr>
                <w:sz w:val="18"/>
              </w:rPr>
            </w:pPr>
            <w:r w:rsidRPr="005C63A9">
              <w:rPr>
                <w:sz w:val="18"/>
              </w:rPr>
              <w:t>% of waste recycled or reused</w:t>
            </w:r>
          </w:p>
        </w:tc>
        <w:tc>
          <w:tcPr>
            <w:tcW w:w="1800" w:type="dxa"/>
          </w:tcPr>
          <w:p w:rsidR="00663FF1" w:rsidRPr="005C63A9" w:rsidRDefault="00663FF1" w:rsidP="006430CE">
            <w:pPr>
              <w:spacing w:line="276" w:lineRule="auto"/>
              <w:rPr>
                <w:sz w:val="18"/>
              </w:rPr>
            </w:pPr>
            <w:r w:rsidRPr="005C63A9">
              <w:rPr>
                <w:sz w:val="18"/>
              </w:rPr>
              <w:t>35-50%</w:t>
            </w:r>
          </w:p>
        </w:tc>
        <w:tc>
          <w:tcPr>
            <w:tcW w:w="2430" w:type="dxa"/>
          </w:tcPr>
          <w:p w:rsidR="00663FF1" w:rsidRPr="005C63A9" w:rsidRDefault="00663FF1" w:rsidP="006430CE">
            <w:pPr>
              <w:spacing w:line="276" w:lineRule="auto"/>
              <w:rPr>
                <w:rFonts w:cs="Arial"/>
                <w:sz w:val="18"/>
              </w:rPr>
            </w:pPr>
            <w:r w:rsidRPr="005C63A9">
              <w:rPr>
                <w:rFonts w:cs="Arial"/>
                <w:sz w:val="18"/>
              </w:rPr>
              <w:t>33% material recycling</w:t>
            </w:r>
          </w:p>
          <w:p w:rsidR="00663FF1" w:rsidRPr="005C63A9" w:rsidRDefault="00663FF1" w:rsidP="006430CE">
            <w:pPr>
              <w:spacing w:line="276" w:lineRule="auto"/>
              <w:rPr>
                <w:rFonts w:cs="Arial"/>
                <w:sz w:val="18"/>
              </w:rPr>
            </w:pPr>
          </w:p>
          <w:p w:rsidR="00663FF1" w:rsidRPr="005C63A9" w:rsidRDefault="00663FF1" w:rsidP="006430CE">
            <w:pPr>
              <w:spacing w:line="276" w:lineRule="auto"/>
              <w:rPr>
                <w:rFonts w:cs="Arial"/>
                <w:sz w:val="18"/>
              </w:rPr>
            </w:pPr>
            <w:r w:rsidRPr="005C63A9">
              <w:rPr>
                <w:sz w:val="18"/>
              </w:rPr>
              <w:t>50% use</w:t>
            </w:r>
            <w:r>
              <w:rPr>
                <w:sz w:val="18"/>
              </w:rPr>
              <w:t>d</w:t>
            </w:r>
            <w:r w:rsidRPr="005C63A9">
              <w:rPr>
                <w:sz w:val="18"/>
              </w:rPr>
              <w:t xml:space="preserve"> for energy</w:t>
            </w:r>
          </w:p>
          <w:p w:rsidR="00663FF1" w:rsidRPr="005C63A9" w:rsidRDefault="00663FF1" w:rsidP="006430CE">
            <w:pPr>
              <w:spacing w:line="276" w:lineRule="auto"/>
              <w:rPr>
                <w:rFonts w:cs="Arial"/>
                <w:sz w:val="18"/>
              </w:rPr>
            </w:pPr>
          </w:p>
        </w:tc>
        <w:tc>
          <w:tcPr>
            <w:tcW w:w="3600" w:type="dxa"/>
          </w:tcPr>
          <w:p w:rsidR="00663FF1" w:rsidRPr="005C63A9" w:rsidRDefault="00663FF1" w:rsidP="006430CE">
            <w:pPr>
              <w:spacing w:line="276" w:lineRule="auto"/>
              <w:rPr>
                <w:rFonts w:cs="Arial"/>
                <w:sz w:val="18"/>
              </w:rPr>
            </w:pPr>
            <w:r>
              <w:rPr>
                <w:rFonts w:cs="Arial"/>
                <w:sz w:val="18"/>
              </w:rPr>
              <w:t>Overall picture of waste usage:</w:t>
            </w:r>
          </w:p>
          <w:p w:rsidR="00663FF1" w:rsidRPr="005C63A9" w:rsidRDefault="00663FF1" w:rsidP="006430CE">
            <w:pPr>
              <w:spacing w:line="276" w:lineRule="auto"/>
              <w:rPr>
                <w:rFonts w:cs="Arial"/>
                <w:sz w:val="18"/>
              </w:rPr>
            </w:pPr>
            <w:r w:rsidRPr="005C63A9">
              <w:rPr>
                <w:rFonts w:cs="Arial"/>
                <w:sz w:val="18"/>
              </w:rPr>
              <w:t>0,7% Landfill</w:t>
            </w:r>
          </w:p>
          <w:p w:rsidR="00663FF1" w:rsidRPr="005C63A9" w:rsidRDefault="00663FF1" w:rsidP="006430CE">
            <w:pPr>
              <w:spacing w:line="276" w:lineRule="auto"/>
              <w:rPr>
                <w:rFonts w:cs="Arial"/>
                <w:sz w:val="18"/>
              </w:rPr>
            </w:pPr>
            <w:r w:rsidRPr="005C63A9">
              <w:rPr>
                <w:rFonts w:cs="Arial"/>
                <w:sz w:val="18"/>
              </w:rPr>
              <w:t>1% Hazardous waste</w:t>
            </w:r>
          </w:p>
          <w:p w:rsidR="00663FF1" w:rsidRPr="005C63A9" w:rsidRDefault="00663FF1" w:rsidP="006430CE">
            <w:pPr>
              <w:spacing w:line="276" w:lineRule="auto"/>
              <w:rPr>
                <w:rFonts w:cs="Arial"/>
                <w:sz w:val="18"/>
              </w:rPr>
            </w:pPr>
            <w:r w:rsidRPr="005C63A9">
              <w:rPr>
                <w:rFonts w:cs="Arial"/>
                <w:sz w:val="18"/>
              </w:rPr>
              <w:t>33% Material recycling</w:t>
            </w:r>
          </w:p>
          <w:p w:rsidR="00663FF1" w:rsidRPr="005C63A9" w:rsidRDefault="00663FF1" w:rsidP="006430CE">
            <w:pPr>
              <w:spacing w:line="276" w:lineRule="auto"/>
              <w:rPr>
                <w:rFonts w:cs="Arial"/>
                <w:sz w:val="18"/>
              </w:rPr>
            </w:pPr>
            <w:r w:rsidRPr="005C63A9">
              <w:rPr>
                <w:rFonts w:cs="Arial"/>
                <w:sz w:val="18"/>
              </w:rPr>
              <w:t>16% Biological treatment</w:t>
            </w:r>
            <w:r w:rsidRPr="005C63A9">
              <w:rPr>
                <w:rStyle w:val="Fotnotsreferens"/>
                <w:rFonts w:cs="Arial"/>
                <w:sz w:val="18"/>
              </w:rPr>
              <w:footnoteReference w:id="4"/>
            </w:r>
          </w:p>
          <w:p w:rsidR="00663FF1" w:rsidRPr="005C63A9" w:rsidRDefault="00663FF1" w:rsidP="006430CE">
            <w:pPr>
              <w:spacing w:line="276" w:lineRule="auto"/>
              <w:rPr>
                <w:sz w:val="18"/>
              </w:rPr>
            </w:pPr>
            <w:r w:rsidRPr="005C63A9">
              <w:rPr>
                <w:rFonts w:cs="Arial"/>
                <w:sz w:val="18"/>
              </w:rPr>
              <w:t>50% Energy recovery</w:t>
            </w:r>
          </w:p>
        </w:tc>
      </w:tr>
      <w:tr w:rsidR="00663FF1" w:rsidRPr="00F77892" w:rsidTr="006430CE">
        <w:tc>
          <w:tcPr>
            <w:tcW w:w="1458" w:type="dxa"/>
            <w:vMerge w:val="restart"/>
          </w:tcPr>
          <w:p w:rsidR="00663FF1" w:rsidRPr="005270DD" w:rsidRDefault="00663FF1" w:rsidP="006430CE">
            <w:pPr>
              <w:spacing w:line="276" w:lineRule="auto"/>
              <w:rPr>
                <w:b/>
                <w:sz w:val="18"/>
              </w:rPr>
            </w:pPr>
            <w:r w:rsidRPr="005270DD">
              <w:rPr>
                <w:b/>
                <w:sz w:val="18"/>
              </w:rPr>
              <w:t>12. Water Efficiency</w:t>
            </w:r>
          </w:p>
          <w:p w:rsidR="00663FF1" w:rsidRPr="005270DD" w:rsidRDefault="00663FF1" w:rsidP="006430CE">
            <w:pPr>
              <w:spacing w:line="276" w:lineRule="auto"/>
              <w:rPr>
                <w:b/>
                <w:sz w:val="18"/>
              </w:rPr>
            </w:pPr>
          </w:p>
        </w:tc>
        <w:tc>
          <w:tcPr>
            <w:tcW w:w="2767" w:type="dxa"/>
          </w:tcPr>
          <w:p w:rsidR="00663FF1" w:rsidRPr="005C63A9" w:rsidRDefault="00663FF1" w:rsidP="006430CE">
            <w:pPr>
              <w:spacing w:line="276" w:lineRule="auto"/>
              <w:rPr>
                <w:sz w:val="18"/>
              </w:rPr>
            </w:pPr>
            <w:r w:rsidRPr="005C63A9">
              <w:rPr>
                <w:sz w:val="18"/>
              </w:rPr>
              <w:t>Avoid water waste</w:t>
            </w:r>
          </w:p>
        </w:tc>
        <w:tc>
          <w:tcPr>
            <w:tcW w:w="1890" w:type="dxa"/>
          </w:tcPr>
          <w:p w:rsidR="00663FF1" w:rsidRPr="005C63A9" w:rsidRDefault="00663FF1" w:rsidP="006430CE">
            <w:pPr>
              <w:spacing w:line="276" w:lineRule="auto"/>
              <w:rPr>
                <w:sz w:val="18"/>
              </w:rPr>
            </w:pPr>
            <w:r w:rsidRPr="005C63A9">
              <w:rPr>
                <w:sz w:val="18"/>
              </w:rPr>
              <w:t>% of water use subject to metering</w:t>
            </w:r>
          </w:p>
        </w:tc>
        <w:tc>
          <w:tcPr>
            <w:tcW w:w="1800" w:type="dxa"/>
          </w:tcPr>
          <w:p w:rsidR="00663FF1" w:rsidRPr="005C63A9" w:rsidRDefault="00663FF1" w:rsidP="006430CE">
            <w:pPr>
              <w:spacing w:line="276" w:lineRule="auto"/>
              <w:rPr>
                <w:sz w:val="18"/>
              </w:rPr>
            </w:pPr>
            <w:r w:rsidRPr="005C63A9">
              <w:rPr>
                <w:sz w:val="18"/>
              </w:rPr>
              <w:t>100%</w:t>
            </w:r>
          </w:p>
        </w:tc>
        <w:tc>
          <w:tcPr>
            <w:tcW w:w="2430" w:type="dxa"/>
          </w:tcPr>
          <w:p w:rsidR="00663FF1" w:rsidRPr="005C63A9" w:rsidRDefault="00663FF1" w:rsidP="006430CE">
            <w:pPr>
              <w:spacing w:line="276" w:lineRule="auto"/>
              <w:rPr>
                <w:sz w:val="18"/>
              </w:rPr>
            </w:pPr>
            <w:r w:rsidRPr="005C63A9">
              <w:rPr>
                <w:sz w:val="18"/>
              </w:rPr>
              <w:t>100%</w:t>
            </w:r>
          </w:p>
        </w:tc>
        <w:tc>
          <w:tcPr>
            <w:tcW w:w="3600" w:type="dxa"/>
          </w:tcPr>
          <w:p w:rsidR="00663FF1" w:rsidRPr="005C63A9" w:rsidRDefault="00663FF1" w:rsidP="006430CE">
            <w:pPr>
              <w:spacing w:line="276" w:lineRule="auto"/>
              <w:rPr>
                <w:sz w:val="18"/>
              </w:rPr>
            </w:pPr>
          </w:p>
        </w:tc>
      </w:tr>
      <w:tr w:rsidR="00663FF1" w:rsidRPr="00F77892" w:rsidTr="006430CE">
        <w:tc>
          <w:tcPr>
            <w:tcW w:w="1458" w:type="dxa"/>
            <w:vMerge/>
          </w:tcPr>
          <w:p w:rsidR="00663FF1" w:rsidRPr="005C63A9" w:rsidRDefault="00663FF1" w:rsidP="006430CE">
            <w:pPr>
              <w:spacing w:line="276" w:lineRule="auto"/>
              <w:rPr>
                <w:sz w:val="18"/>
              </w:rPr>
            </w:pPr>
          </w:p>
        </w:tc>
        <w:tc>
          <w:tcPr>
            <w:tcW w:w="2767" w:type="dxa"/>
          </w:tcPr>
          <w:p w:rsidR="00663FF1" w:rsidRPr="005C63A9" w:rsidRDefault="00663FF1" w:rsidP="006430CE">
            <w:pPr>
              <w:spacing w:line="276" w:lineRule="auto"/>
              <w:rPr>
                <w:sz w:val="18"/>
                <w:lang w:eastAsia="zh-CN"/>
              </w:rPr>
            </w:pPr>
            <w:r w:rsidRPr="005C63A9">
              <w:rPr>
                <w:sz w:val="18"/>
              </w:rPr>
              <w:t>Conserve fresh water on supply side</w:t>
            </w:r>
          </w:p>
        </w:tc>
        <w:tc>
          <w:tcPr>
            <w:tcW w:w="1890" w:type="dxa"/>
          </w:tcPr>
          <w:p w:rsidR="00663FF1" w:rsidRPr="005C63A9" w:rsidRDefault="00663FF1" w:rsidP="006430CE">
            <w:pPr>
              <w:spacing w:line="276" w:lineRule="auto"/>
              <w:rPr>
                <w:sz w:val="18"/>
              </w:rPr>
            </w:pPr>
            <w:r w:rsidRPr="005C63A9">
              <w:rPr>
                <w:sz w:val="18"/>
              </w:rPr>
              <w:t>% of water used should be from rainwater or recycled wastewater</w:t>
            </w:r>
          </w:p>
        </w:tc>
        <w:tc>
          <w:tcPr>
            <w:tcW w:w="1800" w:type="dxa"/>
          </w:tcPr>
          <w:p w:rsidR="00663FF1" w:rsidRPr="005C63A9" w:rsidRDefault="00663FF1" w:rsidP="006430CE">
            <w:pPr>
              <w:spacing w:line="276" w:lineRule="auto"/>
              <w:rPr>
                <w:sz w:val="18"/>
              </w:rPr>
            </w:pPr>
            <w:r w:rsidRPr="005C63A9">
              <w:rPr>
                <w:sz w:val="18"/>
              </w:rPr>
              <w:t>20-30%</w:t>
            </w:r>
          </w:p>
        </w:tc>
        <w:tc>
          <w:tcPr>
            <w:tcW w:w="2430" w:type="dxa"/>
          </w:tcPr>
          <w:p w:rsidR="00663FF1" w:rsidRPr="005C63A9" w:rsidRDefault="00663FF1" w:rsidP="006430CE">
            <w:pPr>
              <w:spacing w:line="276" w:lineRule="auto"/>
              <w:rPr>
                <w:sz w:val="18"/>
              </w:rPr>
            </w:pPr>
          </w:p>
        </w:tc>
        <w:tc>
          <w:tcPr>
            <w:tcW w:w="3600" w:type="dxa"/>
          </w:tcPr>
          <w:p w:rsidR="00663FF1" w:rsidRPr="005C63A9" w:rsidRDefault="00663FF1" w:rsidP="006430CE">
            <w:pPr>
              <w:spacing w:line="276" w:lineRule="auto"/>
              <w:rPr>
                <w:sz w:val="18"/>
              </w:rPr>
            </w:pPr>
            <w:r w:rsidRPr="005C63A9">
              <w:rPr>
                <w:sz w:val="18"/>
              </w:rPr>
              <w:t>Storm water from roof tops and non-street surface</w:t>
            </w:r>
            <w:r>
              <w:rPr>
                <w:sz w:val="18"/>
              </w:rPr>
              <w:t>s</w:t>
            </w:r>
            <w:r w:rsidRPr="005C63A9">
              <w:rPr>
                <w:sz w:val="18"/>
              </w:rPr>
              <w:t xml:space="preserve"> is collected separately from storm water that falls on the streets. Non-street storm water is led through open water ways in the area into the surrounding lake water </w:t>
            </w:r>
            <w:r w:rsidRPr="005C63A9">
              <w:rPr>
                <w:sz w:val="18"/>
              </w:rPr>
              <w:lastRenderedPageBreak/>
              <w:t xml:space="preserve">system. Street storm water is purified before </w:t>
            </w:r>
            <w:r>
              <w:rPr>
                <w:sz w:val="18"/>
              </w:rPr>
              <w:t xml:space="preserve">being </w:t>
            </w:r>
            <w:proofErr w:type="spellStart"/>
            <w:r w:rsidRPr="005C63A9">
              <w:rPr>
                <w:sz w:val="18"/>
              </w:rPr>
              <w:t>channelled</w:t>
            </w:r>
            <w:proofErr w:type="spellEnd"/>
            <w:r w:rsidRPr="005C63A9">
              <w:rPr>
                <w:sz w:val="18"/>
              </w:rPr>
              <w:t xml:space="preserve"> into the fresh water system.</w:t>
            </w:r>
          </w:p>
        </w:tc>
      </w:tr>
    </w:tbl>
    <w:p w:rsidR="00663FF1" w:rsidRPr="00F77892" w:rsidRDefault="00663FF1" w:rsidP="00663FF1">
      <w:pPr>
        <w:spacing w:line="276" w:lineRule="auto"/>
        <w:rPr>
          <w:rFonts w:cs="Arial"/>
        </w:rPr>
        <w:sectPr w:rsidR="00663FF1" w:rsidRPr="00F77892" w:rsidSect="005270DD">
          <w:pgSz w:w="16839" w:h="11907" w:orient="landscape" w:code="9"/>
          <w:pgMar w:top="1440" w:right="1440" w:bottom="1440" w:left="1440" w:header="720" w:footer="720" w:gutter="0"/>
          <w:cols w:space="720"/>
          <w:titlePg/>
          <w:docGrid w:linePitch="360"/>
        </w:sectPr>
      </w:pPr>
    </w:p>
    <w:p w:rsidR="00663FF1" w:rsidRDefault="00663FF1" w:rsidP="00663FF1">
      <w:pPr>
        <w:tabs>
          <w:tab w:val="left" w:pos="851"/>
        </w:tabs>
        <w:spacing w:line="276" w:lineRule="auto"/>
        <w:rPr>
          <w:rFonts w:cs="Arial"/>
          <w:b/>
        </w:rPr>
      </w:pPr>
      <w:r>
        <w:rPr>
          <w:rFonts w:cs="Arial"/>
          <w:b/>
        </w:rPr>
        <w:lastRenderedPageBreak/>
        <w:t xml:space="preserve">Detailed Description of </w:t>
      </w:r>
      <w:r w:rsidRPr="00F77892">
        <w:rPr>
          <w:rFonts w:cs="Arial"/>
          <w:b/>
        </w:rPr>
        <w:t>Guidelines as applied to Hammarby Sjöstad</w:t>
      </w:r>
    </w:p>
    <w:p w:rsidR="00663FF1" w:rsidRPr="005270DD" w:rsidRDefault="00663FF1" w:rsidP="00663FF1">
      <w:pPr>
        <w:tabs>
          <w:tab w:val="left" w:pos="851"/>
        </w:tabs>
        <w:spacing w:line="276" w:lineRule="auto"/>
        <w:rPr>
          <w:rFonts w:cs="Arial"/>
          <w:b/>
        </w:rPr>
      </w:pPr>
      <w:r>
        <w:rPr>
          <w:rFonts w:cs="Arial"/>
          <w:b/>
        </w:rPr>
        <w:t>1. Urban Growth B</w:t>
      </w:r>
      <w:r w:rsidRPr="00F77892">
        <w:rPr>
          <w:rFonts w:cs="Arial"/>
          <w:b/>
        </w:rPr>
        <w:t>oundary:</w:t>
      </w:r>
      <w:r>
        <w:rPr>
          <w:rFonts w:cs="Arial"/>
          <w:b/>
        </w:rPr>
        <w:t xml:space="preserve"> </w:t>
      </w:r>
      <w:r w:rsidRPr="002F524E">
        <w:rPr>
          <w:rFonts w:cs="Arial"/>
        </w:rPr>
        <w:t>The strategy used by the</w:t>
      </w:r>
      <w:r>
        <w:rPr>
          <w:rFonts w:cs="Arial"/>
          <w:b/>
        </w:rPr>
        <w:t xml:space="preserve"> </w:t>
      </w:r>
      <w:r>
        <w:t>St</w:t>
      </w:r>
      <w:r w:rsidRPr="00F77892">
        <w:t xml:space="preserve">ockholm City Planning </w:t>
      </w:r>
      <w:r>
        <w:t>Administration was</w:t>
      </w:r>
      <w:r w:rsidRPr="00F77892">
        <w:t xml:space="preserve"> to re-use and transform old industrial</w:t>
      </w:r>
      <w:r>
        <w:t xml:space="preserve"> sites</w:t>
      </w:r>
      <w:r w:rsidRPr="00F77892">
        <w:t xml:space="preserve"> and other brownfield sites into attractive </w:t>
      </w:r>
      <w:proofErr w:type="gramStart"/>
      <w:r w:rsidRPr="00F77892">
        <w:t>mixed use</w:t>
      </w:r>
      <w:proofErr w:type="gramEnd"/>
      <w:r w:rsidRPr="00F77892">
        <w:t xml:space="preserve"> areas with beautiful parks and public green spaces. Hammarby Sjöstad is an excellent example of an application of this strategy</w:t>
      </w:r>
      <w:r>
        <w:t xml:space="preserve">. Prior to development all the soil was sanitized. To </w:t>
      </w:r>
      <w:r w:rsidRPr="00F77892">
        <w:t>avoid urban sprawl and increase the use of public transportation, bicycling</w:t>
      </w:r>
      <w:r>
        <w:t>,</w:t>
      </w:r>
      <w:r w:rsidRPr="00F77892">
        <w:t xml:space="preserve"> and walking</w:t>
      </w:r>
      <w:r>
        <w:t xml:space="preserve"> in the area, the City adapted the concept of </w:t>
      </w:r>
      <w:r w:rsidRPr="00F77892">
        <w:t>Smart Growth Theory</w:t>
      </w:r>
      <w:r>
        <w:t>. The theory</w:t>
      </w:r>
      <w:r w:rsidRPr="00F77892">
        <w:t xml:space="preserve"> </w:t>
      </w:r>
      <w:r>
        <w:t>focuses</w:t>
      </w:r>
      <w:r w:rsidRPr="00F77892">
        <w:t xml:space="preserve"> on concentrating urban growth in</w:t>
      </w:r>
      <w:r>
        <w:t xml:space="preserve"> or </w:t>
      </w:r>
      <w:r w:rsidRPr="00F77892">
        <w:t>nearby city centers</w:t>
      </w:r>
      <w:r>
        <w:t xml:space="preserve"> through</w:t>
      </w:r>
      <w:r w:rsidRPr="00F77892">
        <w:t xml:space="preserve"> integrated planning and Trans</w:t>
      </w:r>
      <w:r>
        <w:t>it Oriented Development (TOD)</w:t>
      </w:r>
      <w:r w:rsidRPr="00F77892">
        <w:t>.</w:t>
      </w:r>
      <w:r>
        <w:t xml:space="preserve"> 100% of the developed land has been recreated and adapted for the City of Stockholm.  Hammarby Sjöstad is located approximately 3 km from the city center.</w:t>
      </w:r>
      <w:r w:rsidRPr="00F77892">
        <w:t xml:space="preserve"> Hammarby Sjöstad is part of </w:t>
      </w:r>
      <w:proofErr w:type="gramStart"/>
      <w:r w:rsidRPr="00F77892">
        <w:t>an</w:t>
      </w:r>
      <w:proofErr w:type="gramEnd"/>
      <w:r w:rsidRPr="00F77892">
        <w:t xml:space="preserve"> regional urban planning strategy to create a </w:t>
      </w:r>
      <w:r>
        <w:rPr>
          <w:rStyle w:val="hps"/>
          <w:rFonts w:cs="Arial"/>
          <w:lang w:val="en"/>
        </w:rPr>
        <w:t>p</w:t>
      </w:r>
      <w:r w:rsidRPr="00F77892">
        <w:rPr>
          <w:rStyle w:val="hps"/>
          <w:rFonts w:cs="Arial"/>
          <w:lang w:val="en"/>
        </w:rPr>
        <w:t>olycentric</w:t>
      </w:r>
      <w:r w:rsidRPr="00F77892">
        <w:rPr>
          <w:rStyle w:val="shorttext"/>
          <w:lang w:val="en"/>
        </w:rPr>
        <w:t xml:space="preserve"> </w:t>
      </w:r>
      <w:r>
        <w:rPr>
          <w:rStyle w:val="hps"/>
          <w:rFonts w:cs="Arial"/>
          <w:lang w:val="en"/>
        </w:rPr>
        <w:t>u</w:t>
      </w:r>
      <w:r w:rsidRPr="00F77892">
        <w:rPr>
          <w:rStyle w:val="hps"/>
          <w:rFonts w:cs="Arial"/>
          <w:lang w:val="en"/>
        </w:rPr>
        <w:t xml:space="preserve">rban </w:t>
      </w:r>
      <w:r>
        <w:rPr>
          <w:rStyle w:val="hps"/>
          <w:rFonts w:cs="Arial"/>
          <w:lang w:val="en"/>
        </w:rPr>
        <w:t>s</w:t>
      </w:r>
      <w:r w:rsidRPr="00F77892">
        <w:rPr>
          <w:rStyle w:val="hps"/>
          <w:rFonts w:cs="Arial"/>
          <w:lang w:val="en"/>
        </w:rPr>
        <w:t xml:space="preserve">tructure as well as a </w:t>
      </w:r>
      <w:r>
        <w:t>c</w:t>
      </w:r>
      <w:r w:rsidRPr="00F77892">
        <w:t xml:space="preserve">ity </w:t>
      </w:r>
      <w:r>
        <w:t>p</w:t>
      </w:r>
      <w:r w:rsidRPr="00F77892">
        <w:t xml:space="preserve">lanning </w:t>
      </w:r>
      <w:r>
        <w:t>s</w:t>
      </w:r>
      <w:r w:rsidRPr="00F77892">
        <w:t>trategy to densify and build the city inwards.</w:t>
      </w:r>
    </w:p>
    <w:p w:rsidR="00663FF1" w:rsidRDefault="00663FF1" w:rsidP="00663FF1">
      <w:pPr>
        <w:pStyle w:val="Allmntstyckeformat"/>
        <w:spacing w:line="276" w:lineRule="auto"/>
        <w:rPr>
          <w:rFonts w:asciiTheme="majorHAnsi" w:eastAsiaTheme="minorEastAsia" w:hAnsiTheme="majorHAnsi" w:cstheme="minorBidi"/>
          <w:color w:val="000000" w:themeColor="text1"/>
          <w:sz w:val="22"/>
          <w:szCs w:val="22"/>
          <w:lang w:val="en-US" w:eastAsia="en-US"/>
        </w:rPr>
      </w:pPr>
      <w:r w:rsidRPr="005270DD">
        <w:rPr>
          <w:rFonts w:asciiTheme="majorHAnsi" w:eastAsiaTheme="minorEastAsia" w:hAnsiTheme="majorHAnsi" w:cstheme="minorBidi"/>
          <w:b/>
          <w:color w:val="000000" w:themeColor="text1"/>
          <w:sz w:val="22"/>
          <w:szCs w:val="22"/>
          <w:lang w:val="en-US" w:eastAsia="en-US"/>
        </w:rPr>
        <w:t>2. Transit Oriented Development:</w:t>
      </w:r>
      <w:r w:rsidRPr="005270DD">
        <w:rPr>
          <w:rFonts w:asciiTheme="majorHAnsi" w:eastAsiaTheme="minorEastAsia" w:hAnsiTheme="majorHAnsi" w:cstheme="minorBidi"/>
          <w:color w:val="000000" w:themeColor="text1"/>
          <w:sz w:val="22"/>
          <w:szCs w:val="22"/>
          <w:lang w:val="en-US" w:eastAsia="en-US"/>
        </w:rPr>
        <w:t xml:space="preserve"> TOD is one of the key components integrated in the area. Fast and attractive public transport combined with carpools and beautiful cycling and pedestrian paths have been implemented in the area in order to reduce private car usage. The FAR number ranges from 1.2-2.3 in the area. The FAR is higher along the main public transportation corridors due to the location of </w:t>
      </w:r>
      <w:proofErr w:type="gramStart"/>
      <w:r w:rsidRPr="005270DD">
        <w:rPr>
          <w:rFonts w:asciiTheme="majorHAnsi" w:eastAsiaTheme="minorEastAsia" w:hAnsiTheme="majorHAnsi" w:cstheme="minorBidi"/>
          <w:color w:val="000000" w:themeColor="text1"/>
          <w:sz w:val="22"/>
          <w:szCs w:val="22"/>
          <w:lang w:val="en-US" w:eastAsia="en-US"/>
        </w:rPr>
        <w:t>mixed use</w:t>
      </w:r>
      <w:proofErr w:type="gramEnd"/>
      <w:r w:rsidRPr="005270DD">
        <w:rPr>
          <w:rFonts w:asciiTheme="majorHAnsi" w:eastAsiaTheme="minorEastAsia" w:hAnsiTheme="majorHAnsi" w:cstheme="minorBidi"/>
          <w:color w:val="000000" w:themeColor="text1"/>
          <w:sz w:val="22"/>
          <w:szCs w:val="22"/>
          <w:lang w:val="en-US" w:eastAsia="en-US"/>
        </w:rPr>
        <w:t xml:space="preserve"> functions. However, the FAR ratio does not vary that much at every bus/tram station since the distance between stations are quite short which contributes to plots well connected to the public transportation services.</w:t>
      </w:r>
    </w:p>
    <w:p w:rsidR="00663FF1" w:rsidRPr="005270DD" w:rsidRDefault="00663FF1" w:rsidP="00663FF1">
      <w:pPr>
        <w:pStyle w:val="Allmntstyckeformat"/>
        <w:spacing w:line="276" w:lineRule="auto"/>
        <w:rPr>
          <w:rFonts w:asciiTheme="majorHAnsi" w:eastAsiaTheme="minorEastAsia" w:hAnsiTheme="majorHAnsi" w:cstheme="minorBidi"/>
          <w:color w:val="000000" w:themeColor="text1"/>
          <w:sz w:val="22"/>
          <w:szCs w:val="22"/>
          <w:lang w:val="en-US" w:eastAsia="en-US"/>
        </w:rPr>
      </w:pPr>
    </w:p>
    <w:p w:rsidR="00663FF1" w:rsidRDefault="00663FF1" w:rsidP="00663FF1">
      <w:r w:rsidRPr="005270DD">
        <w:rPr>
          <w:b/>
        </w:rPr>
        <w:t>3. Mixed</w:t>
      </w:r>
      <w:r w:rsidRPr="005270DD">
        <w:rPr>
          <w:b/>
          <w:lang w:eastAsia="zh-CN"/>
        </w:rPr>
        <w:t>-</w:t>
      </w:r>
      <w:r w:rsidRPr="005270DD">
        <w:rPr>
          <w:b/>
        </w:rPr>
        <w:t>use:</w:t>
      </w:r>
      <w:r>
        <w:t xml:space="preserve"> Today 20,400 residents inhabit the area in 9000 apartments</w:t>
      </w:r>
      <w:r w:rsidRPr="00BC74F9">
        <w:t xml:space="preserve"> and approx</w:t>
      </w:r>
      <w:r>
        <w:t xml:space="preserve">imately </w:t>
      </w:r>
      <w:r w:rsidRPr="00BC74F9">
        <w:t>11</w:t>
      </w:r>
      <w:r>
        <w:t>,000 business</w:t>
      </w:r>
      <w:r w:rsidRPr="00BC74F9">
        <w:t xml:space="preserve"> places are available. </w:t>
      </w:r>
      <w:r>
        <w:t xml:space="preserve">The following area amenities can be </w:t>
      </w:r>
      <w:proofErr w:type="gramStart"/>
      <w:r>
        <w:t>found:</w:t>
      </w:r>
      <w:proofErr w:type="gramEnd"/>
      <w:r w:rsidRPr="00BC74F9">
        <w:t xml:space="preserve"> schools, kindergartens, post offices, banks, retail, clinics, petrol and biogas station, youth activity centers, hotels and restaurants</w:t>
      </w:r>
      <w:r>
        <w:t xml:space="preserve">. Many services are </w:t>
      </w:r>
      <w:r w:rsidRPr="00BC74F9">
        <w:t>concentrated along the central boulevard with prioritized public transport, walking</w:t>
      </w:r>
      <w:r>
        <w:t>,</w:t>
      </w:r>
      <w:r w:rsidRPr="00BC74F9">
        <w:t xml:space="preserve"> and cycling.</w:t>
      </w:r>
    </w:p>
    <w:p w:rsidR="00663FF1" w:rsidRDefault="00663FF1" w:rsidP="00663FF1">
      <w:r>
        <w:rPr>
          <w:rFonts w:cs="Arial"/>
          <w:b/>
        </w:rPr>
        <w:t xml:space="preserve">4. </w:t>
      </w:r>
      <w:r w:rsidRPr="00F77892">
        <w:rPr>
          <w:rFonts w:cs="Arial"/>
          <w:b/>
        </w:rPr>
        <w:t>Small blocks</w:t>
      </w:r>
      <w:r>
        <w:t xml:space="preserve">: </w:t>
      </w:r>
      <w:r w:rsidRPr="00F77892">
        <w:t xml:space="preserve">Typical block size </w:t>
      </w:r>
      <w:r>
        <w:t xml:space="preserve">is </w:t>
      </w:r>
      <w:r w:rsidRPr="00F77892">
        <w:t>50</w:t>
      </w:r>
      <w:r>
        <w:t xml:space="preserve"> </w:t>
      </w:r>
      <w:r w:rsidRPr="00F77892">
        <w:t>x</w:t>
      </w:r>
      <w:r>
        <w:t xml:space="preserve"> 70 m or</w:t>
      </w:r>
      <w:r w:rsidRPr="00F77892">
        <w:t xml:space="preserve"> 70</w:t>
      </w:r>
      <w:r>
        <w:t xml:space="preserve"> </w:t>
      </w:r>
      <w:r w:rsidRPr="00F77892">
        <w:t>x</w:t>
      </w:r>
      <w:r>
        <w:t xml:space="preserve"> </w:t>
      </w:r>
      <w:r w:rsidRPr="00F77892">
        <w:t>100</w:t>
      </w:r>
      <w:r>
        <w:t xml:space="preserve"> </w:t>
      </w:r>
      <w:proofErr w:type="gramStart"/>
      <w:r w:rsidRPr="00F77892">
        <w:t>m,</w:t>
      </w:r>
      <w:proofErr w:type="gramEnd"/>
      <w:r w:rsidRPr="00F77892">
        <w:t xml:space="preserve"> </w:t>
      </w:r>
      <w:r>
        <w:t xml:space="preserve">exceptions </w:t>
      </w:r>
      <w:r w:rsidRPr="00F77892">
        <w:t>are industry and schools.</w:t>
      </w:r>
      <w:r>
        <w:t xml:space="preserve"> S</w:t>
      </w:r>
      <w:r w:rsidRPr="00F77892">
        <w:t>mall blocks less than 1</w:t>
      </w:r>
      <w:r>
        <w:t xml:space="preserve"> </w:t>
      </w:r>
      <w:r w:rsidRPr="00F77892">
        <w:t>ha dominate</w:t>
      </w:r>
      <w:r>
        <w:t xml:space="preserve"> the area</w:t>
      </w:r>
      <w:r w:rsidRPr="00F77892">
        <w:t>.</w:t>
      </w:r>
      <w:r>
        <w:t xml:space="preserve"> The general building layout combines traditional Stockholm inner city characteristics with </w:t>
      </w:r>
      <w:proofErr w:type="spellStart"/>
      <w:r>
        <w:t>Hammarby</w:t>
      </w:r>
      <w:proofErr w:type="spellEnd"/>
      <w:r>
        <w:t xml:space="preserve"> </w:t>
      </w:r>
      <w:proofErr w:type="spellStart"/>
      <w:r>
        <w:t>Sjöstad’s</w:t>
      </w:r>
      <w:proofErr w:type="spellEnd"/>
      <w:r>
        <w:t xml:space="preserve"> natural environment. Blocks are built around inner courtyards. Average height is 18-24 meters, or 7 stories. </w:t>
      </w:r>
    </w:p>
    <w:p w:rsidR="00663FF1" w:rsidRDefault="00663FF1" w:rsidP="00663FF1">
      <w:r w:rsidRPr="005270DD">
        <w:rPr>
          <w:rFonts w:cs="Arial"/>
          <w:b/>
        </w:rPr>
        <w:t xml:space="preserve">5. Public Green Space: </w:t>
      </w:r>
      <w:r w:rsidRPr="005270DD">
        <w:rPr>
          <w:rFonts w:cs="Arial"/>
        </w:rPr>
        <w:t xml:space="preserve">19% of the area is intended for public green </w:t>
      </w:r>
      <w:proofErr w:type="gramStart"/>
      <w:r w:rsidRPr="005270DD">
        <w:rPr>
          <w:rFonts w:cs="Arial"/>
        </w:rPr>
        <w:t>space .</w:t>
      </w:r>
      <w:r w:rsidRPr="005270DD">
        <w:t>The</w:t>
      </w:r>
      <w:proofErr w:type="gramEnd"/>
      <w:r w:rsidRPr="005270DD">
        <w:t xml:space="preserve"> development stipulates 25 m</w:t>
      </w:r>
      <w:r w:rsidRPr="005270DD">
        <w:rPr>
          <w:vertAlign w:val="superscript"/>
        </w:rPr>
        <w:t>2</w:t>
      </w:r>
      <w:r w:rsidRPr="005270DD">
        <w:t xml:space="preserve"> of public green space per apartment unit. When the district is fully developed it will consist of 300,000 m</w:t>
      </w:r>
      <w:r w:rsidRPr="005270DD">
        <w:rPr>
          <w:vertAlign w:val="superscript"/>
        </w:rPr>
        <w:t>2</w:t>
      </w:r>
      <w:r w:rsidRPr="005270DD">
        <w:t xml:space="preserve"> of public space. The public green space of Hammarby Sjöstad is connected to the citywide structure of green wedges and green links. The green networks also </w:t>
      </w:r>
      <w:proofErr w:type="gramStart"/>
      <w:r w:rsidRPr="005270DD">
        <w:t>connects</w:t>
      </w:r>
      <w:proofErr w:type="gramEnd"/>
      <w:r w:rsidRPr="005270DD">
        <w:t xml:space="preserve"> to walking and cycling paths in surrounding nature preserves and to eco-ducts over larger roads </w:t>
      </w:r>
    </w:p>
    <w:p w:rsidR="00663FF1" w:rsidRDefault="00663FF1" w:rsidP="00663FF1">
      <w:pPr>
        <w:spacing w:line="276" w:lineRule="auto"/>
      </w:pPr>
      <w:r w:rsidRPr="005270DD">
        <w:rPr>
          <w:b/>
          <w:color w:val="000000"/>
        </w:rPr>
        <w:t>6.</w:t>
      </w:r>
      <w:r w:rsidRPr="005C63A9">
        <w:rPr>
          <w:color w:val="000000"/>
        </w:rPr>
        <w:t xml:space="preserve"> </w:t>
      </w:r>
      <w:r>
        <w:rPr>
          <w:b/>
        </w:rPr>
        <w:t>Non-motorized T</w:t>
      </w:r>
      <w:r w:rsidRPr="008E3C01">
        <w:rPr>
          <w:b/>
        </w:rPr>
        <w:t>ransit:</w:t>
      </w:r>
      <w:r w:rsidRPr="00F77892">
        <w:t xml:space="preserve"> </w:t>
      </w:r>
      <w:r w:rsidRPr="00F77892">
        <w:rPr>
          <w:rFonts w:eastAsia="Times New Roman"/>
        </w:rPr>
        <w:t>Hammarby Sjöstad has</w:t>
      </w:r>
      <w:r>
        <w:rPr>
          <w:rFonts w:eastAsia="Times New Roman"/>
        </w:rPr>
        <w:t xml:space="preserve"> a total of 45 km of walking paths and 18.5 km of cycling paths integrated into the area.</w:t>
      </w:r>
      <w:r w:rsidRPr="00F77892">
        <w:rPr>
          <w:rFonts w:eastAsia="Times New Roman"/>
        </w:rPr>
        <w:t xml:space="preserve"> </w:t>
      </w:r>
      <w:r w:rsidRPr="00F77892">
        <w:t xml:space="preserve">Bicycling and walking </w:t>
      </w:r>
      <w:r>
        <w:t>wa</w:t>
      </w:r>
      <w:r w:rsidRPr="00F77892">
        <w:t>s</w:t>
      </w:r>
      <w:r>
        <w:t xml:space="preserve"> prioritized in the development and is </w:t>
      </w:r>
      <w:r w:rsidRPr="00F77892">
        <w:t xml:space="preserve">integrated </w:t>
      </w:r>
      <w:r>
        <w:t>into</w:t>
      </w:r>
      <w:r w:rsidRPr="00F77892">
        <w:t xml:space="preserve"> the citywide network.</w:t>
      </w:r>
      <w:r>
        <w:t xml:space="preserve"> </w:t>
      </w:r>
      <w:r w:rsidRPr="00F77892">
        <w:t xml:space="preserve"> All roads have sidewalks. Safe bicycle paths are prioritized and developed along all ma</w:t>
      </w:r>
      <w:r>
        <w:t>j</w:t>
      </w:r>
      <w:r w:rsidRPr="00F77892">
        <w:t xml:space="preserve">or routes. In Hammarby Sjöstad there are bicycle paths along the main transportation corridors as well as traffic separated bicycle paths along waterfronts and through </w:t>
      </w:r>
      <w:r>
        <w:t>residential</w:t>
      </w:r>
      <w:r w:rsidRPr="00F77892">
        <w:t xml:space="preserve"> areas. </w:t>
      </w:r>
    </w:p>
    <w:p w:rsidR="00663FF1" w:rsidRDefault="00663FF1" w:rsidP="00663FF1">
      <w:pPr>
        <w:spacing w:line="276" w:lineRule="auto"/>
        <w:rPr>
          <w:rFonts w:cs="Arial"/>
        </w:rPr>
      </w:pPr>
      <w:r>
        <w:rPr>
          <w:rFonts w:cs="Arial"/>
          <w:b/>
        </w:rPr>
        <w:lastRenderedPageBreak/>
        <w:t>7. Public T</w:t>
      </w:r>
      <w:r w:rsidRPr="00F77892">
        <w:rPr>
          <w:rFonts w:cs="Arial"/>
          <w:b/>
        </w:rPr>
        <w:t>ransit:</w:t>
      </w:r>
      <w:r>
        <w:rPr>
          <w:rFonts w:cs="Arial"/>
          <w:b/>
        </w:rPr>
        <w:t xml:space="preserve"> </w:t>
      </w:r>
      <w:r w:rsidRPr="00F77892">
        <w:t xml:space="preserve">Distance </w:t>
      </w:r>
      <w:r>
        <w:t xml:space="preserve">from housing </w:t>
      </w:r>
      <w:r w:rsidRPr="00F77892">
        <w:t>to public transportation is 250-300 m</w:t>
      </w:r>
      <w:r>
        <w:t xml:space="preserve"> at most</w:t>
      </w:r>
      <w:r w:rsidRPr="00F77892">
        <w:t>.</w:t>
      </w:r>
      <w:r>
        <w:t xml:space="preserve"> </w:t>
      </w:r>
      <w:r w:rsidRPr="00F77892">
        <w:rPr>
          <w:rFonts w:cs="Arial"/>
        </w:rPr>
        <w:t>All blocks are within 500</w:t>
      </w:r>
      <w:r>
        <w:rPr>
          <w:rFonts w:cs="Arial"/>
        </w:rPr>
        <w:t xml:space="preserve"> </w:t>
      </w:r>
      <w:r w:rsidRPr="00F77892">
        <w:rPr>
          <w:rFonts w:cs="Arial"/>
        </w:rPr>
        <w:t>m distance from public transportation stations</w:t>
      </w:r>
      <w:r>
        <w:rPr>
          <w:rFonts w:cs="Arial"/>
        </w:rPr>
        <w:t xml:space="preserve"> (bus and light rail)</w:t>
      </w:r>
      <w:r w:rsidRPr="00F77892">
        <w:rPr>
          <w:rFonts w:cs="Arial"/>
        </w:rPr>
        <w:t xml:space="preserve"> and</w:t>
      </w:r>
      <w:r>
        <w:rPr>
          <w:rFonts w:cs="Arial"/>
        </w:rPr>
        <w:t xml:space="preserve"> have easy access</w:t>
      </w:r>
      <w:r w:rsidRPr="00F77892">
        <w:rPr>
          <w:rFonts w:cs="Arial"/>
        </w:rPr>
        <w:t xml:space="preserve"> </w:t>
      </w:r>
      <w:r>
        <w:rPr>
          <w:rFonts w:cs="Arial"/>
        </w:rPr>
        <w:t>to</w:t>
      </w:r>
      <w:r w:rsidRPr="00F77892">
        <w:rPr>
          <w:rFonts w:cs="Arial"/>
        </w:rPr>
        <w:t xml:space="preserve"> convenient and beautiful pedestrian links.</w:t>
      </w:r>
      <w:r>
        <w:rPr>
          <w:rFonts w:cs="Arial"/>
        </w:rPr>
        <w:t xml:space="preserve"> Carpools, bicycle sharing, and a ferry service are also transportation alternatives found in the area.</w:t>
      </w:r>
    </w:p>
    <w:p w:rsidR="00663FF1" w:rsidRDefault="00663FF1" w:rsidP="00663FF1">
      <w:pPr>
        <w:spacing w:line="276" w:lineRule="auto"/>
      </w:pPr>
      <w:r w:rsidRPr="005270DD">
        <w:rPr>
          <w:rFonts w:cs="Arial"/>
          <w:b/>
        </w:rPr>
        <w:t xml:space="preserve">8. Car control: </w:t>
      </w:r>
      <w:r w:rsidRPr="005270DD">
        <w:rPr>
          <w:rFonts w:cs="Arial"/>
        </w:rPr>
        <w:t xml:space="preserve">Car ownership in Hammarby is low: 210 cars per 1000 residents. The </w:t>
      </w:r>
      <w:r w:rsidRPr="005270DD">
        <w:t>parking norm for the area is set to 0.55 cars per apartment unit, which was lowered from the development’s initial target of 1 car per apartment. Public transport, bicycling, and walking are prioritized ahead of private car use. Car pools were introduced. Ground level public parking is regulated and minimized to parking along streets. All other parking is underground. Underground parking is organized by housing associations or rental housing companies and put under buildings or as larger parking facilities under open spaces or parks. Special parking lots are provided for disabled people and for carpool cars. In order to minimize car use, the City of Stockholm fully developed the tram and bus line before residents moved in.</w:t>
      </w:r>
    </w:p>
    <w:p w:rsidR="00663FF1" w:rsidRPr="005270DD" w:rsidRDefault="00663FF1" w:rsidP="00663FF1">
      <w:pPr>
        <w:spacing w:line="276" w:lineRule="auto"/>
      </w:pPr>
      <w:r w:rsidRPr="005270DD">
        <w:rPr>
          <w:rFonts w:cs="Arial"/>
          <w:b/>
        </w:rPr>
        <w:t xml:space="preserve">9. Green Buildings: </w:t>
      </w:r>
      <w:r w:rsidRPr="005270DD">
        <w:rPr>
          <w:rFonts w:cs="Arial"/>
        </w:rPr>
        <w:t xml:space="preserve">Buildings in Hammarby Sjöstad are classified according to the Sweden Green Building Council (SGBC) environmental classification system. The four most used classification systems in Sweden are </w:t>
      </w:r>
      <w:proofErr w:type="spellStart"/>
      <w:r w:rsidRPr="005270DD">
        <w:rPr>
          <w:rFonts w:cs="Arial"/>
          <w:i/>
        </w:rPr>
        <w:t>Miljöbyggnad</w:t>
      </w:r>
      <w:proofErr w:type="spellEnd"/>
      <w:r w:rsidRPr="005270DD">
        <w:rPr>
          <w:rFonts w:cs="Arial"/>
        </w:rPr>
        <w:t xml:space="preserve"> (Environmental Building), Green Building, BREEAM and LEED.</w:t>
      </w:r>
    </w:p>
    <w:p w:rsidR="00663FF1" w:rsidRPr="00F77892" w:rsidRDefault="00663FF1" w:rsidP="00663FF1">
      <w:pPr>
        <w:spacing w:line="276" w:lineRule="auto"/>
        <w:ind w:right="1134"/>
        <w:rPr>
          <w:rFonts w:cs="Arial"/>
          <w:highlight w:val="yellow"/>
        </w:rPr>
      </w:pPr>
      <w:r>
        <w:rPr>
          <w:rFonts w:cs="Arial"/>
        </w:rPr>
        <w:t xml:space="preserve">SGBC facilitates the process for citizens, property owners, tenants, and customers to choose sustainable </w:t>
      </w:r>
      <w:proofErr w:type="gramStart"/>
      <w:r>
        <w:rPr>
          <w:rFonts w:cs="Arial"/>
        </w:rPr>
        <w:t>long term</w:t>
      </w:r>
      <w:proofErr w:type="gramEnd"/>
      <w:r>
        <w:rPr>
          <w:rFonts w:cs="Arial"/>
        </w:rPr>
        <w:t xml:space="preserve"> solutions in the built environment by making it easier to understand the environmental certification and classifications systems of buildings and neighborhoods. </w:t>
      </w:r>
    </w:p>
    <w:p w:rsidR="00663FF1" w:rsidRDefault="00663FF1" w:rsidP="00663FF1">
      <w:pPr>
        <w:spacing w:line="276" w:lineRule="auto"/>
        <w:ind w:right="1134"/>
      </w:pPr>
      <w:r w:rsidRPr="00F77892">
        <w:rPr>
          <w:rFonts w:cs="Arial"/>
        </w:rPr>
        <w:t>The overall planning of land use, transportation</w:t>
      </w:r>
      <w:r>
        <w:rPr>
          <w:rFonts w:cs="Arial"/>
        </w:rPr>
        <w:t>,</w:t>
      </w:r>
      <w:r w:rsidRPr="00F77892">
        <w:rPr>
          <w:rFonts w:cs="Arial"/>
        </w:rPr>
        <w:t xml:space="preserve"> and </w:t>
      </w:r>
      <w:r>
        <w:rPr>
          <w:rFonts w:cs="Arial"/>
        </w:rPr>
        <w:t xml:space="preserve">the </w:t>
      </w:r>
      <w:r w:rsidRPr="00F77892">
        <w:rPr>
          <w:rFonts w:cs="Arial"/>
        </w:rPr>
        <w:t xml:space="preserve">eco-cycle made it possible for every building to achieve </w:t>
      </w:r>
      <w:r>
        <w:rPr>
          <w:rFonts w:cs="Arial"/>
        </w:rPr>
        <w:t>a high</w:t>
      </w:r>
      <w:r w:rsidRPr="00F77892">
        <w:rPr>
          <w:rFonts w:cs="Arial"/>
        </w:rPr>
        <w:t xml:space="preserve"> level of environmental performance. However, the energy consumption of building</w:t>
      </w:r>
      <w:r>
        <w:rPr>
          <w:rFonts w:cs="Arial"/>
        </w:rPr>
        <w:t>s</w:t>
      </w:r>
      <w:r w:rsidRPr="00F77892">
        <w:rPr>
          <w:rFonts w:cs="Arial"/>
        </w:rPr>
        <w:t xml:space="preserve"> did not reach the original goal which first was se</w:t>
      </w:r>
      <w:r>
        <w:rPr>
          <w:rFonts w:cs="Arial"/>
        </w:rPr>
        <w:t>t at 60/</w:t>
      </w:r>
      <w:r w:rsidRPr="008249AF">
        <w:t>m</w:t>
      </w:r>
      <w:r w:rsidRPr="008249AF">
        <w:rPr>
          <w:rFonts w:cs="Arial"/>
        </w:rPr>
        <w:t>²</w:t>
      </w:r>
      <w:r>
        <w:rPr>
          <w:rFonts w:cs="Arial"/>
        </w:rPr>
        <w:t>/</w:t>
      </w:r>
      <w:r w:rsidRPr="00F77892">
        <w:rPr>
          <w:rFonts w:cs="Arial"/>
        </w:rPr>
        <w:t xml:space="preserve">year. In 2005 the goal was revised to 100 </w:t>
      </w:r>
      <w:r w:rsidRPr="00F77892">
        <w:t>k</w:t>
      </w:r>
      <w:r>
        <w:t>W</w:t>
      </w:r>
      <w:r w:rsidRPr="00F77892">
        <w:t>h/m</w:t>
      </w:r>
      <w:r w:rsidRPr="00F77892">
        <w:rPr>
          <w:rFonts w:cs="Arial"/>
        </w:rPr>
        <w:t>²</w:t>
      </w:r>
      <w:r w:rsidRPr="00F77892">
        <w:t>.</w:t>
      </w:r>
      <w:r w:rsidRPr="00F77892">
        <w:rPr>
          <w:rFonts w:cs="Arial"/>
        </w:rPr>
        <w:t xml:space="preserve">  </w:t>
      </w:r>
      <w:r w:rsidRPr="008249AF">
        <w:t>Average energy consumption in Sweden is 150 k</w:t>
      </w:r>
      <w:r>
        <w:t>W</w:t>
      </w:r>
      <w:r w:rsidRPr="008249AF">
        <w:t>h/m</w:t>
      </w:r>
      <w:r w:rsidRPr="008249AF">
        <w:rPr>
          <w:rFonts w:cs="Arial"/>
        </w:rPr>
        <w:t>²</w:t>
      </w:r>
      <w:r>
        <w:rPr>
          <w:rFonts w:cs="Arial"/>
        </w:rPr>
        <w:t>, whereas</w:t>
      </w:r>
      <w:r w:rsidRPr="008249AF">
        <w:t xml:space="preserve"> in Hammarby it is 118 k</w:t>
      </w:r>
      <w:r>
        <w:t>W</w:t>
      </w:r>
      <w:r w:rsidRPr="008249AF">
        <w:t>h/m</w:t>
      </w:r>
      <w:r w:rsidRPr="008249AF">
        <w:rPr>
          <w:rFonts w:cs="Arial"/>
        </w:rPr>
        <w:t>²</w:t>
      </w:r>
      <w:r w:rsidRPr="008249AF">
        <w:t>.</w:t>
      </w:r>
    </w:p>
    <w:p w:rsidR="00663FF1" w:rsidRPr="005270DD" w:rsidRDefault="00663FF1" w:rsidP="00663FF1">
      <w:pPr>
        <w:spacing w:line="276" w:lineRule="auto"/>
        <w:ind w:right="1134"/>
        <w:rPr>
          <w:rFonts w:cs="Arial"/>
        </w:rPr>
      </w:pPr>
      <w:r w:rsidRPr="008249AF">
        <w:rPr>
          <w:rFonts w:cs="Arial"/>
          <w:b/>
        </w:rPr>
        <w:t xml:space="preserve">10. Renewable and District Energy: </w:t>
      </w:r>
      <w:r w:rsidRPr="00580F8B">
        <w:t xml:space="preserve">Extraction of non-renewable energy resources decreased 28-42% compared </w:t>
      </w:r>
      <w:proofErr w:type="gramStart"/>
      <w:r w:rsidRPr="00580F8B">
        <w:t>to  comparable</w:t>
      </w:r>
      <w:proofErr w:type="gramEnd"/>
      <w:r w:rsidRPr="00580F8B">
        <w:t xml:space="preserve"> project in 2008 </w:t>
      </w:r>
      <w:r w:rsidRPr="00580F8B">
        <w:rPr>
          <w:rFonts w:cs="Arial"/>
        </w:rPr>
        <w:t>(Grontmij, 2008).</w:t>
      </w:r>
      <w:r>
        <w:rPr>
          <w:rFonts w:cs="Arial"/>
        </w:rPr>
        <w:t xml:space="preserve"> </w:t>
      </w:r>
      <w:r>
        <w:t>Greenhouse gas emissions</w:t>
      </w:r>
      <w:r w:rsidRPr="00580F8B">
        <w:t xml:space="preserve"> decreased 29-37% compared to technology level</w:t>
      </w:r>
      <w:r>
        <w:t>s</w:t>
      </w:r>
      <w:r w:rsidRPr="00580F8B">
        <w:t xml:space="preserve"> used in the early 1990s </w:t>
      </w:r>
      <w:r w:rsidRPr="00580F8B">
        <w:rPr>
          <w:rFonts w:cs="Arial"/>
        </w:rPr>
        <w:t>(Grontmij, 2008).</w:t>
      </w:r>
    </w:p>
    <w:p w:rsidR="00663FF1" w:rsidRPr="00FE24CC" w:rsidRDefault="00663FF1" w:rsidP="00663FF1">
      <w:pPr>
        <w:spacing w:line="276" w:lineRule="auto"/>
        <w:ind w:right="1134"/>
      </w:pPr>
      <w:r w:rsidRPr="00FE24CC">
        <w:t>100% of the buildings in Hammarby Sjöstad are heated by district heating. The base production is from the waste</w:t>
      </w:r>
      <w:r>
        <w:t xml:space="preserve"> incineration in the Combined</w:t>
      </w:r>
      <w:r w:rsidRPr="00FE24CC">
        <w:t xml:space="preserve"> Heat and Power </w:t>
      </w:r>
      <w:r>
        <w:t>p</w:t>
      </w:r>
      <w:r w:rsidRPr="00FE24CC">
        <w:t xml:space="preserve">lant and the heat pumps in the </w:t>
      </w:r>
      <w:r>
        <w:t>w</w:t>
      </w:r>
      <w:r w:rsidRPr="00FE24CC">
        <w:t>aste</w:t>
      </w:r>
      <w:r>
        <w:t>w</w:t>
      </w:r>
      <w:r w:rsidRPr="00FE24CC">
        <w:t xml:space="preserve">ater </w:t>
      </w:r>
      <w:r>
        <w:t>t</w:t>
      </w:r>
      <w:r w:rsidRPr="00FE24CC">
        <w:t xml:space="preserve">reatment </w:t>
      </w:r>
      <w:r>
        <w:t>p</w:t>
      </w:r>
      <w:r w:rsidRPr="00FE24CC">
        <w:t xml:space="preserve">lant. Excess heat from WWTP is reused in </w:t>
      </w:r>
      <w:r>
        <w:t xml:space="preserve">the </w:t>
      </w:r>
      <w:r w:rsidRPr="00FE24CC">
        <w:t xml:space="preserve">district heating and cooling system for the city. </w:t>
      </w:r>
      <w:r>
        <w:t>A</w:t>
      </w:r>
      <w:r w:rsidRPr="00FE24CC">
        <w:t>pproximately 80% of the total energy use in Hammarby Sjöstad is renewable.</w:t>
      </w:r>
    </w:p>
    <w:p w:rsidR="00663FF1" w:rsidRPr="00F77892" w:rsidRDefault="00663FF1" w:rsidP="00663FF1">
      <w:pPr>
        <w:spacing w:line="276" w:lineRule="auto"/>
        <w:ind w:right="1134"/>
      </w:pPr>
    </w:p>
    <w:p w:rsidR="00663FF1" w:rsidRPr="00F77892" w:rsidRDefault="00663FF1" w:rsidP="00663FF1">
      <w:pPr>
        <w:spacing w:line="276" w:lineRule="auto"/>
        <w:ind w:right="1134"/>
        <w:rPr>
          <w:rFonts w:cs="Arial"/>
        </w:rPr>
      </w:pPr>
      <w:r>
        <w:rPr>
          <w:b/>
        </w:rPr>
        <w:br w:type="page"/>
      </w:r>
      <w:r>
        <w:rPr>
          <w:b/>
        </w:rPr>
        <w:lastRenderedPageBreak/>
        <w:t xml:space="preserve">11. </w:t>
      </w:r>
      <w:r w:rsidRPr="00F77892">
        <w:rPr>
          <w:b/>
        </w:rPr>
        <w:t xml:space="preserve">Waste </w:t>
      </w:r>
      <w:r>
        <w:rPr>
          <w:b/>
        </w:rPr>
        <w:t>M</w:t>
      </w:r>
      <w:r w:rsidRPr="00F77892">
        <w:rPr>
          <w:b/>
        </w:rPr>
        <w:t xml:space="preserve">anagement: </w:t>
      </w:r>
      <w:r w:rsidRPr="00F77892">
        <w:rPr>
          <w:rFonts w:cs="Arial"/>
        </w:rPr>
        <w:t>In Hammarby Sjöstad waste is thoroughly sorted in practical systems, with material and energy recycling maximized wherever possible.</w:t>
      </w:r>
    </w:p>
    <w:p w:rsidR="00663FF1" w:rsidRDefault="00663FF1" w:rsidP="00663FF1">
      <w:pPr>
        <w:spacing w:line="276" w:lineRule="auto"/>
        <w:ind w:right="1134"/>
        <w:rPr>
          <w:sz w:val="24"/>
        </w:rPr>
      </w:pPr>
      <w:r>
        <w:rPr>
          <w:rFonts w:cs="Arial"/>
          <w:b/>
        </w:rPr>
        <w:t xml:space="preserve">12. </w:t>
      </w:r>
      <w:r w:rsidRPr="00F77892">
        <w:rPr>
          <w:rFonts w:cs="Arial"/>
          <w:b/>
        </w:rPr>
        <w:t xml:space="preserve">Water </w:t>
      </w:r>
      <w:r>
        <w:rPr>
          <w:rFonts w:cs="Arial"/>
          <w:b/>
        </w:rPr>
        <w:t>E</w:t>
      </w:r>
      <w:r w:rsidRPr="00F77892">
        <w:rPr>
          <w:rFonts w:cs="Arial"/>
          <w:b/>
        </w:rPr>
        <w:t>fficiency:</w:t>
      </w:r>
      <w:r>
        <w:rPr>
          <w:rFonts w:cs="Arial"/>
          <w:b/>
        </w:rPr>
        <w:t xml:space="preserve"> </w:t>
      </w:r>
      <w:r w:rsidRPr="00F77892">
        <w:rPr>
          <w:rFonts w:cs="Arial"/>
        </w:rPr>
        <w:t>In Hammarby Sjöstad</w:t>
      </w:r>
      <w:r>
        <w:rPr>
          <w:rFonts w:cs="Arial"/>
        </w:rPr>
        <w:t xml:space="preserve">, water use decreased by 41-46% per </w:t>
      </w:r>
      <w:r w:rsidRPr="00F77892">
        <w:rPr>
          <w:rFonts w:cs="Arial"/>
        </w:rPr>
        <w:t xml:space="preserve">person </w:t>
      </w:r>
      <w:r>
        <w:rPr>
          <w:rFonts w:cs="Arial"/>
        </w:rPr>
        <w:t>compared to early 1990’s levels</w:t>
      </w:r>
      <w:r w:rsidRPr="00F77892">
        <w:rPr>
          <w:rFonts w:cs="Arial"/>
        </w:rPr>
        <w:t xml:space="preserve">. Water consumption </w:t>
      </w:r>
      <w:r>
        <w:rPr>
          <w:rFonts w:cs="Arial"/>
        </w:rPr>
        <w:t>wa</w:t>
      </w:r>
      <w:r w:rsidRPr="00F77892">
        <w:rPr>
          <w:rFonts w:cs="Arial"/>
        </w:rPr>
        <w:t>s reduced through the use of eco-friendly installations, low flush toilets</w:t>
      </w:r>
      <w:r>
        <w:rPr>
          <w:rFonts w:cs="Arial"/>
        </w:rPr>
        <w:t>,</w:t>
      </w:r>
      <w:r w:rsidRPr="00F77892">
        <w:rPr>
          <w:rFonts w:cs="Arial"/>
        </w:rPr>
        <w:t xml:space="preserve"> and air mixer taps.</w:t>
      </w:r>
      <w:r>
        <w:t xml:space="preserve"> </w:t>
      </w:r>
      <w:r w:rsidRPr="00580F8B">
        <w:t>Eutrophication decreased 49-53% compared to early 1990s</w:t>
      </w:r>
      <w:r>
        <w:t xml:space="preserve"> levels</w:t>
      </w:r>
      <w:r w:rsidRPr="00580F8B">
        <w:rPr>
          <w:rFonts w:cs="Arial"/>
        </w:rPr>
        <w:t xml:space="preserve"> (Grontmij, 2008).</w:t>
      </w:r>
      <w:r>
        <w:rPr>
          <w:rFonts w:cs="Arial"/>
        </w:rPr>
        <w:t xml:space="preserve"> Decreasing over-</w:t>
      </w:r>
      <w:r w:rsidRPr="00F77892">
        <w:rPr>
          <w:rFonts w:cs="Arial"/>
        </w:rPr>
        <w:t xml:space="preserve">fertilization is largely </w:t>
      </w:r>
      <w:r>
        <w:rPr>
          <w:rFonts w:cs="Arial"/>
        </w:rPr>
        <w:t>attributed</w:t>
      </w:r>
      <w:r w:rsidRPr="00F77892">
        <w:rPr>
          <w:rFonts w:cs="Arial"/>
        </w:rPr>
        <w:t xml:space="preserve"> to improvements at the </w:t>
      </w:r>
      <w:proofErr w:type="spellStart"/>
      <w:r w:rsidRPr="00F77892">
        <w:rPr>
          <w:rFonts w:cs="Arial"/>
        </w:rPr>
        <w:t>Henrikdal</w:t>
      </w:r>
      <w:proofErr w:type="spellEnd"/>
      <w:r w:rsidRPr="00F77892">
        <w:rPr>
          <w:rFonts w:cs="Arial"/>
        </w:rPr>
        <w:t xml:space="preserve"> Wastewater Treatment Plant.</w:t>
      </w:r>
    </w:p>
    <w:p w:rsidR="00FD28C9" w:rsidRDefault="00FD28C9"/>
    <w:sectPr w:rsidR="00FD28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E0E" w:rsidRDefault="00F06E0E" w:rsidP="00663FF1">
      <w:pPr>
        <w:spacing w:after="0" w:line="240" w:lineRule="auto"/>
      </w:pPr>
      <w:r>
        <w:separator/>
      </w:r>
    </w:p>
  </w:endnote>
  <w:endnote w:type="continuationSeparator" w:id="0">
    <w:p w:rsidR="00F06E0E" w:rsidRDefault="00F06E0E" w:rsidP="0066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nion Pro">
    <w:altName w:val="Times New Roman"/>
    <w:panose1 w:val="02040503050201020203"/>
    <w:charset w:val="00"/>
    <w:family w:val="roman"/>
    <w:notTrueType/>
    <w:pitch w:val="variable"/>
    <w:sig w:usb0="60000287" w:usb1="00000001" w:usb2="00000000" w:usb3="00000000" w:csb0="0000019F" w:csb1="00000000"/>
  </w:font>
  <w:font w:name="MercuryTextG1-Roman">
    <w:altName w:val="Times New Roman"/>
    <w:panose1 w:val="020B0604020202020204"/>
    <w:charset w:val="00"/>
    <w:family w:val="auto"/>
    <w:notTrueType/>
    <w:pitch w:val="default"/>
    <w:sig w:usb0="00000003" w:usb1="00000000" w:usb2="00000000" w:usb3="00000000" w:csb0="00000001" w:csb1="00000000"/>
  </w:font>
  <w:font w:name="MetaPlusBook-Roman">
    <w:altName w:val="MS Mincho"/>
    <w:panose1 w:val="020B0604020202020204"/>
    <w:charset w:val="80"/>
    <w:family w:val="auto"/>
    <w:notTrueType/>
    <w:pitch w:val="default"/>
    <w:sig w:usb0="00000001" w:usb1="08070000" w:usb2="00000010" w:usb3="00000000" w:csb0="00020000" w:csb1="00000000"/>
  </w:font>
  <w:font w:name="Calibri-Light">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E0E" w:rsidRDefault="00F06E0E" w:rsidP="00663FF1">
      <w:pPr>
        <w:spacing w:after="0" w:line="240" w:lineRule="auto"/>
      </w:pPr>
      <w:r>
        <w:separator/>
      </w:r>
    </w:p>
  </w:footnote>
  <w:footnote w:type="continuationSeparator" w:id="0">
    <w:p w:rsidR="00F06E0E" w:rsidRDefault="00F06E0E" w:rsidP="00663FF1">
      <w:pPr>
        <w:spacing w:after="0" w:line="240" w:lineRule="auto"/>
      </w:pPr>
      <w:r>
        <w:continuationSeparator/>
      </w:r>
    </w:p>
  </w:footnote>
  <w:footnote w:id="1">
    <w:p w:rsidR="00663FF1" w:rsidRPr="006C07A0" w:rsidRDefault="00663FF1" w:rsidP="00663FF1">
      <w:pPr>
        <w:tabs>
          <w:tab w:val="left" w:pos="851"/>
        </w:tabs>
        <w:spacing w:line="276" w:lineRule="auto"/>
        <w:rPr>
          <w:rFonts w:cs="Arial"/>
          <w:sz w:val="18"/>
          <w:szCs w:val="18"/>
        </w:rPr>
      </w:pPr>
      <w:r w:rsidRPr="006C07A0">
        <w:rPr>
          <w:rStyle w:val="Fotnotsreferens"/>
          <w:sz w:val="18"/>
          <w:szCs w:val="18"/>
        </w:rPr>
        <w:footnoteRef/>
      </w:r>
      <w:r w:rsidRPr="006C07A0">
        <w:rPr>
          <w:sz w:val="18"/>
          <w:szCs w:val="18"/>
        </w:rPr>
        <w:t xml:space="preserve"> </w:t>
      </w:r>
      <w:r w:rsidRPr="006C07A0">
        <w:rPr>
          <w:rFonts w:cs="Arial"/>
          <w:sz w:val="18"/>
          <w:szCs w:val="18"/>
        </w:rPr>
        <w:t xml:space="preserve">This case study </w:t>
      </w:r>
      <w:r>
        <w:rPr>
          <w:rFonts w:cs="Arial"/>
          <w:sz w:val="18"/>
          <w:szCs w:val="18"/>
        </w:rPr>
        <w:t>is</w:t>
      </w:r>
      <w:r w:rsidRPr="006C07A0">
        <w:rPr>
          <w:rFonts w:cs="Arial"/>
          <w:sz w:val="18"/>
          <w:szCs w:val="18"/>
        </w:rPr>
        <w:t xml:space="preserve"> a </w:t>
      </w:r>
      <w:r w:rsidRPr="006C07A0">
        <w:rPr>
          <w:rFonts w:cs="Arial"/>
          <w:i/>
          <w:sz w:val="18"/>
          <w:szCs w:val="18"/>
        </w:rPr>
        <w:t>collection of facts, figures</w:t>
      </w:r>
      <w:r>
        <w:rPr>
          <w:rFonts w:cs="Arial"/>
          <w:i/>
          <w:sz w:val="18"/>
          <w:szCs w:val="18"/>
        </w:rPr>
        <w:t>,</w:t>
      </w:r>
      <w:r w:rsidRPr="006C07A0">
        <w:rPr>
          <w:rFonts w:cs="Arial"/>
          <w:i/>
          <w:sz w:val="18"/>
          <w:szCs w:val="18"/>
        </w:rPr>
        <w:t xml:space="preserve"> and earlier writings. </w:t>
      </w:r>
      <w:r w:rsidRPr="006C07A0">
        <w:rPr>
          <w:rFonts w:cs="Arial"/>
          <w:sz w:val="18"/>
          <w:szCs w:val="18"/>
        </w:rPr>
        <w:t>This</w:t>
      </w:r>
      <w:r w:rsidRPr="006C07A0">
        <w:rPr>
          <w:rFonts w:cs="Arial"/>
          <w:i/>
          <w:sz w:val="18"/>
          <w:szCs w:val="18"/>
        </w:rPr>
        <w:t xml:space="preserve"> </w:t>
      </w:r>
      <w:r w:rsidRPr="006C07A0">
        <w:rPr>
          <w:rFonts w:cs="Arial"/>
          <w:sz w:val="18"/>
          <w:szCs w:val="18"/>
        </w:rPr>
        <w:t>means that the report is primarily based upon secondary material</w:t>
      </w:r>
      <w:r>
        <w:rPr>
          <w:rFonts w:cs="Arial"/>
          <w:sz w:val="18"/>
          <w:szCs w:val="18"/>
        </w:rPr>
        <w:t>s and the authors cannot be held accountable for their accuracy</w:t>
      </w:r>
      <w:r w:rsidRPr="006C07A0">
        <w:rPr>
          <w:rFonts w:cs="Arial"/>
          <w:sz w:val="18"/>
          <w:szCs w:val="18"/>
        </w:rPr>
        <w:t>. The work has focused on compiling, analyzing</w:t>
      </w:r>
      <w:r>
        <w:rPr>
          <w:rFonts w:cs="Arial"/>
          <w:sz w:val="18"/>
          <w:szCs w:val="18"/>
        </w:rPr>
        <w:t>,</w:t>
      </w:r>
      <w:r w:rsidRPr="006C07A0">
        <w:rPr>
          <w:rFonts w:cs="Arial"/>
          <w:sz w:val="18"/>
          <w:szCs w:val="18"/>
        </w:rPr>
        <w:t xml:space="preserve"> and</w:t>
      </w:r>
      <w:r>
        <w:rPr>
          <w:rFonts w:cs="Arial"/>
          <w:sz w:val="18"/>
          <w:szCs w:val="18"/>
        </w:rPr>
        <w:t xml:space="preserve"> concluding existing material. </w:t>
      </w:r>
      <w:r w:rsidRPr="006C07A0">
        <w:rPr>
          <w:rFonts w:cs="Arial"/>
          <w:sz w:val="18"/>
          <w:szCs w:val="18"/>
        </w:rPr>
        <w:t xml:space="preserve">Supporting material produced by </w:t>
      </w:r>
      <w:proofErr w:type="spellStart"/>
      <w:r w:rsidRPr="006C07A0">
        <w:rPr>
          <w:rFonts w:cs="Arial"/>
          <w:sz w:val="18"/>
          <w:szCs w:val="18"/>
        </w:rPr>
        <w:t>Sweco</w:t>
      </w:r>
      <w:proofErr w:type="spellEnd"/>
      <w:r w:rsidRPr="006C07A0">
        <w:rPr>
          <w:rFonts w:cs="Arial"/>
          <w:sz w:val="18"/>
          <w:szCs w:val="18"/>
        </w:rPr>
        <w:t xml:space="preserve"> includes some of the images, diagrams, tables</w:t>
      </w:r>
      <w:r>
        <w:rPr>
          <w:rFonts w:cs="Arial"/>
          <w:sz w:val="18"/>
          <w:szCs w:val="18"/>
        </w:rPr>
        <w:t>,</w:t>
      </w:r>
      <w:r w:rsidRPr="006C07A0">
        <w:rPr>
          <w:rFonts w:cs="Arial"/>
          <w:sz w:val="18"/>
          <w:szCs w:val="18"/>
        </w:rPr>
        <w:t xml:space="preserve"> and analysis. </w:t>
      </w:r>
    </w:p>
    <w:p w:rsidR="00663FF1" w:rsidRPr="006C07A0" w:rsidRDefault="00663FF1" w:rsidP="00663FF1">
      <w:pPr>
        <w:pStyle w:val="Fotnotstext"/>
      </w:pPr>
    </w:p>
  </w:footnote>
  <w:footnote w:id="2">
    <w:p w:rsidR="00663FF1" w:rsidRPr="0061492A" w:rsidRDefault="00663FF1" w:rsidP="00663FF1">
      <w:pPr>
        <w:pStyle w:val="Fotnotstext"/>
      </w:pPr>
      <w:r>
        <w:rPr>
          <w:rStyle w:val="Fotnotsreferens"/>
        </w:rPr>
        <w:footnoteRef/>
      </w:r>
      <w:r>
        <w:t xml:space="preserve"> See Table 2 for an in-depth comparison of </w:t>
      </w:r>
      <w:proofErr w:type="spellStart"/>
      <w:r>
        <w:t>Hammarby’s</w:t>
      </w:r>
      <w:proofErr w:type="spellEnd"/>
      <w:r>
        <w:t xml:space="preserve"> metrics to those of the 12 Guidelines.</w:t>
      </w:r>
    </w:p>
  </w:footnote>
  <w:footnote w:id="3">
    <w:p w:rsidR="00663FF1" w:rsidRPr="001E31C7" w:rsidRDefault="00663FF1" w:rsidP="00663FF1">
      <w:pPr>
        <w:pStyle w:val="Fotnotstext"/>
        <w:rPr>
          <w:sz w:val="18"/>
          <w:szCs w:val="18"/>
        </w:rPr>
      </w:pPr>
      <w:r w:rsidRPr="001E31C7">
        <w:rPr>
          <w:rStyle w:val="Fotnotsreferens"/>
          <w:sz w:val="18"/>
          <w:szCs w:val="18"/>
        </w:rPr>
        <w:footnoteRef/>
      </w:r>
      <w:r w:rsidRPr="001E31C7">
        <w:rPr>
          <w:sz w:val="18"/>
          <w:szCs w:val="18"/>
        </w:rPr>
        <w:t xml:space="preserve"> In a Swedish context this would be referred to as source separation of waste to enable best treatment.</w:t>
      </w:r>
    </w:p>
  </w:footnote>
  <w:footnote w:id="4">
    <w:p w:rsidR="00663FF1" w:rsidRPr="001E31C7" w:rsidRDefault="00663FF1" w:rsidP="00663FF1">
      <w:pPr>
        <w:pStyle w:val="Fotnotstext"/>
        <w:rPr>
          <w:sz w:val="18"/>
          <w:szCs w:val="18"/>
        </w:rPr>
      </w:pPr>
      <w:r w:rsidRPr="001E31C7">
        <w:rPr>
          <w:rStyle w:val="Fotnotsreferens"/>
          <w:sz w:val="18"/>
          <w:szCs w:val="18"/>
        </w:rPr>
        <w:footnoteRef/>
      </w:r>
      <w:r w:rsidRPr="001E31C7">
        <w:rPr>
          <w:sz w:val="18"/>
          <w:szCs w:val="18"/>
        </w:rPr>
        <w:t xml:space="preserve"> Waste </w:t>
      </w:r>
      <w:r>
        <w:rPr>
          <w:sz w:val="18"/>
          <w:szCs w:val="18"/>
        </w:rPr>
        <w:t>goes to</w:t>
      </w:r>
      <w:r w:rsidRPr="001E31C7">
        <w:rPr>
          <w:sz w:val="18"/>
          <w:szCs w:val="18"/>
        </w:rPr>
        <w:t xml:space="preserve"> biological treatment which utili</w:t>
      </w:r>
      <w:r>
        <w:rPr>
          <w:sz w:val="18"/>
          <w:szCs w:val="18"/>
        </w:rPr>
        <w:t>z</w:t>
      </w:r>
      <w:r w:rsidRPr="001E31C7">
        <w:rPr>
          <w:sz w:val="18"/>
          <w:szCs w:val="18"/>
        </w:rPr>
        <w:t>es its component nutrients for plant cultivation and also utili</w:t>
      </w:r>
      <w:r>
        <w:rPr>
          <w:sz w:val="18"/>
          <w:szCs w:val="18"/>
        </w:rPr>
        <w:t>z</w:t>
      </w:r>
      <w:r w:rsidRPr="001E31C7">
        <w:rPr>
          <w:sz w:val="18"/>
          <w:szCs w:val="18"/>
        </w:rPr>
        <w:t>es its energy content (</w:t>
      </w:r>
      <w:proofErr w:type="spellStart"/>
      <w:r w:rsidRPr="001E31C7">
        <w:rPr>
          <w:sz w:val="18"/>
          <w:szCs w:val="18"/>
        </w:rPr>
        <w:t>GlashusEtt</w:t>
      </w:r>
      <w:proofErr w:type="spellEnd"/>
      <w:r w:rsidRPr="001E31C7">
        <w:rPr>
          <w:sz w:val="18"/>
          <w:szCs w:val="18"/>
        </w:rPr>
        <w:t>,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38EC"/>
    <w:multiLevelType w:val="hybridMultilevel"/>
    <w:tmpl w:val="E8D49B00"/>
    <w:lvl w:ilvl="0" w:tplc="0409000F">
      <w:start w:val="1"/>
      <w:numFmt w:val="decimal"/>
      <w:lvlText w:val="%1."/>
      <w:lvlJc w:val="left"/>
      <w:pPr>
        <w:ind w:left="720" w:hanging="360"/>
      </w:pPr>
      <w:rPr>
        <w:rFonts w:hint="default"/>
        <w:sz w:val="22"/>
        <w:szCs w:val="22"/>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E34760A"/>
    <w:multiLevelType w:val="hybridMultilevel"/>
    <w:tmpl w:val="69348AC6"/>
    <w:lvl w:ilvl="0" w:tplc="E7068324">
      <w:start w:val="1750"/>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747861F2"/>
    <w:multiLevelType w:val="hybridMultilevel"/>
    <w:tmpl w:val="555C21B0"/>
    <w:lvl w:ilvl="0" w:tplc="F9A6DDDC">
      <w:start w:val="1"/>
      <w:numFmt w:val="bullet"/>
      <w:pStyle w:val="Liststycke"/>
      <w:lvlText w:val=""/>
      <w:lvlJc w:val="left"/>
      <w:pPr>
        <w:ind w:left="450" w:hanging="360"/>
      </w:pPr>
      <w:rPr>
        <w:rFonts w:ascii="Symbol" w:hAnsi="Symbol" w:hint="default"/>
        <w:sz w:val="22"/>
        <w:szCs w:val="22"/>
      </w:rPr>
    </w:lvl>
    <w:lvl w:ilvl="1" w:tplc="04090003">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24EA4"/>
    <w:multiLevelType w:val="hybridMultilevel"/>
    <w:tmpl w:val="5F801A6E"/>
    <w:lvl w:ilvl="0" w:tplc="E7068324">
      <w:start w:val="175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F1"/>
    <w:rsid w:val="000012EB"/>
    <w:rsid w:val="00001D30"/>
    <w:rsid w:val="00006158"/>
    <w:rsid w:val="00011A8F"/>
    <w:rsid w:val="00012454"/>
    <w:rsid w:val="00020724"/>
    <w:rsid w:val="00024ABA"/>
    <w:rsid w:val="00034441"/>
    <w:rsid w:val="00036581"/>
    <w:rsid w:val="00037351"/>
    <w:rsid w:val="00050A94"/>
    <w:rsid w:val="00056388"/>
    <w:rsid w:val="000571AB"/>
    <w:rsid w:val="00062BE1"/>
    <w:rsid w:val="00066854"/>
    <w:rsid w:val="00071F75"/>
    <w:rsid w:val="0007625C"/>
    <w:rsid w:val="0007644B"/>
    <w:rsid w:val="000764BA"/>
    <w:rsid w:val="0007780A"/>
    <w:rsid w:val="0008151E"/>
    <w:rsid w:val="00085506"/>
    <w:rsid w:val="00095E9A"/>
    <w:rsid w:val="000A1514"/>
    <w:rsid w:val="000A2EB8"/>
    <w:rsid w:val="000A3042"/>
    <w:rsid w:val="000A5063"/>
    <w:rsid w:val="000A535A"/>
    <w:rsid w:val="000B2F00"/>
    <w:rsid w:val="000B73C1"/>
    <w:rsid w:val="000C192D"/>
    <w:rsid w:val="000C26E6"/>
    <w:rsid w:val="000C56F6"/>
    <w:rsid w:val="000C7D4E"/>
    <w:rsid w:val="000C7F3B"/>
    <w:rsid w:val="000D54A4"/>
    <w:rsid w:val="000D5F9B"/>
    <w:rsid w:val="000E01A9"/>
    <w:rsid w:val="000E2AA2"/>
    <w:rsid w:val="000E6B57"/>
    <w:rsid w:val="000F350E"/>
    <w:rsid w:val="000F37B2"/>
    <w:rsid w:val="000F4678"/>
    <w:rsid w:val="000F5971"/>
    <w:rsid w:val="000F750D"/>
    <w:rsid w:val="000F7A45"/>
    <w:rsid w:val="00106AE3"/>
    <w:rsid w:val="00115B5D"/>
    <w:rsid w:val="00115EFA"/>
    <w:rsid w:val="00122DA4"/>
    <w:rsid w:val="00135131"/>
    <w:rsid w:val="00141420"/>
    <w:rsid w:val="00143429"/>
    <w:rsid w:val="00146408"/>
    <w:rsid w:val="00157014"/>
    <w:rsid w:val="00157CD5"/>
    <w:rsid w:val="00170A0B"/>
    <w:rsid w:val="001715CE"/>
    <w:rsid w:val="001806D3"/>
    <w:rsid w:val="00181296"/>
    <w:rsid w:val="00182783"/>
    <w:rsid w:val="00182A03"/>
    <w:rsid w:val="00182DC1"/>
    <w:rsid w:val="00187E8E"/>
    <w:rsid w:val="001907CD"/>
    <w:rsid w:val="00191823"/>
    <w:rsid w:val="0019512B"/>
    <w:rsid w:val="00195566"/>
    <w:rsid w:val="001956BA"/>
    <w:rsid w:val="001964C6"/>
    <w:rsid w:val="001A2DBB"/>
    <w:rsid w:val="001A3B8D"/>
    <w:rsid w:val="001A55F3"/>
    <w:rsid w:val="001B5B1C"/>
    <w:rsid w:val="001C7CF1"/>
    <w:rsid w:val="001D69A8"/>
    <w:rsid w:val="001E0BA3"/>
    <w:rsid w:val="001E2ADD"/>
    <w:rsid w:val="001E41E3"/>
    <w:rsid w:val="001E6792"/>
    <w:rsid w:val="001E6C90"/>
    <w:rsid w:val="001F1CED"/>
    <w:rsid w:val="001F7133"/>
    <w:rsid w:val="002002C8"/>
    <w:rsid w:val="00204F84"/>
    <w:rsid w:val="00205048"/>
    <w:rsid w:val="0021178D"/>
    <w:rsid w:val="002123BB"/>
    <w:rsid w:val="002130CD"/>
    <w:rsid w:val="00213AE9"/>
    <w:rsid w:val="002148CC"/>
    <w:rsid w:val="00215CB1"/>
    <w:rsid w:val="00220629"/>
    <w:rsid w:val="00221218"/>
    <w:rsid w:val="00222477"/>
    <w:rsid w:val="00224E90"/>
    <w:rsid w:val="0022569C"/>
    <w:rsid w:val="00227BBB"/>
    <w:rsid w:val="0023011A"/>
    <w:rsid w:val="002316F0"/>
    <w:rsid w:val="0025004D"/>
    <w:rsid w:val="002520D7"/>
    <w:rsid w:val="00263558"/>
    <w:rsid w:val="00267E73"/>
    <w:rsid w:val="00271A72"/>
    <w:rsid w:val="00273000"/>
    <w:rsid w:val="002737ED"/>
    <w:rsid w:val="00285449"/>
    <w:rsid w:val="00290FDB"/>
    <w:rsid w:val="002A1275"/>
    <w:rsid w:val="002A2B21"/>
    <w:rsid w:val="002A5608"/>
    <w:rsid w:val="002A69AA"/>
    <w:rsid w:val="002B19FF"/>
    <w:rsid w:val="002C09C1"/>
    <w:rsid w:val="002C2961"/>
    <w:rsid w:val="002C5AC6"/>
    <w:rsid w:val="002E2564"/>
    <w:rsid w:val="002F09B2"/>
    <w:rsid w:val="002F68DB"/>
    <w:rsid w:val="002F75AB"/>
    <w:rsid w:val="00300367"/>
    <w:rsid w:val="003015C7"/>
    <w:rsid w:val="00303155"/>
    <w:rsid w:val="0030565E"/>
    <w:rsid w:val="0030664A"/>
    <w:rsid w:val="00311C7A"/>
    <w:rsid w:val="00311DE0"/>
    <w:rsid w:val="003125EC"/>
    <w:rsid w:val="00313481"/>
    <w:rsid w:val="003240FC"/>
    <w:rsid w:val="00324237"/>
    <w:rsid w:val="00330868"/>
    <w:rsid w:val="00337571"/>
    <w:rsid w:val="00337B47"/>
    <w:rsid w:val="003406BC"/>
    <w:rsid w:val="00343694"/>
    <w:rsid w:val="0034380B"/>
    <w:rsid w:val="00351F26"/>
    <w:rsid w:val="00353CC2"/>
    <w:rsid w:val="0035629F"/>
    <w:rsid w:val="0035702A"/>
    <w:rsid w:val="00357DA1"/>
    <w:rsid w:val="003627B9"/>
    <w:rsid w:val="0036689F"/>
    <w:rsid w:val="00373CCC"/>
    <w:rsid w:val="00380A6A"/>
    <w:rsid w:val="00382894"/>
    <w:rsid w:val="003830B2"/>
    <w:rsid w:val="00383810"/>
    <w:rsid w:val="00386741"/>
    <w:rsid w:val="00386938"/>
    <w:rsid w:val="00386B17"/>
    <w:rsid w:val="00387B67"/>
    <w:rsid w:val="0039019A"/>
    <w:rsid w:val="003965C6"/>
    <w:rsid w:val="003A0685"/>
    <w:rsid w:val="003A2A2D"/>
    <w:rsid w:val="003A3451"/>
    <w:rsid w:val="003A7AC6"/>
    <w:rsid w:val="003B05EC"/>
    <w:rsid w:val="003B4CED"/>
    <w:rsid w:val="003B7CC3"/>
    <w:rsid w:val="003C3382"/>
    <w:rsid w:val="003C4600"/>
    <w:rsid w:val="003D0DB7"/>
    <w:rsid w:val="003D17D5"/>
    <w:rsid w:val="003E018D"/>
    <w:rsid w:val="003E4826"/>
    <w:rsid w:val="003E614F"/>
    <w:rsid w:val="003E7F0F"/>
    <w:rsid w:val="003F5E33"/>
    <w:rsid w:val="00404DB5"/>
    <w:rsid w:val="00407478"/>
    <w:rsid w:val="004102F4"/>
    <w:rsid w:val="00413ED6"/>
    <w:rsid w:val="004169AE"/>
    <w:rsid w:val="00425D9F"/>
    <w:rsid w:val="00432C5B"/>
    <w:rsid w:val="0043415A"/>
    <w:rsid w:val="00435453"/>
    <w:rsid w:val="00437237"/>
    <w:rsid w:val="00440AFF"/>
    <w:rsid w:val="00442804"/>
    <w:rsid w:val="00445FA5"/>
    <w:rsid w:val="00452CDE"/>
    <w:rsid w:val="00454FAF"/>
    <w:rsid w:val="00456DDC"/>
    <w:rsid w:val="00457078"/>
    <w:rsid w:val="00465F90"/>
    <w:rsid w:val="0047258F"/>
    <w:rsid w:val="0047316F"/>
    <w:rsid w:val="00474462"/>
    <w:rsid w:val="00487EB8"/>
    <w:rsid w:val="00493E53"/>
    <w:rsid w:val="00494BFD"/>
    <w:rsid w:val="00495F2B"/>
    <w:rsid w:val="004A6029"/>
    <w:rsid w:val="004A67EA"/>
    <w:rsid w:val="004B061E"/>
    <w:rsid w:val="004B4ED1"/>
    <w:rsid w:val="004B595E"/>
    <w:rsid w:val="004B6457"/>
    <w:rsid w:val="004C2246"/>
    <w:rsid w:val="004C3321"/>
    <w:rsid w:val="004C5B4F"/>
    <w:rsid w:val="004D0BEE"/>
    <w:rsid w:val="004D509C"/>
    <w:rsid w:val="004D6E3D"/>
    <w:rsid w:val="004E064D"/>
    <w:rsid w:val="004E2D04"/>
    <w:rsid w:val="004E5B70"/>
    <w:rsid w:val="004E639B"/>
    <w:rsid w:val="004F0CE6"/>
    <w:rsid w:val="004F29E9"/>
    <w:rsid w:val="004F4283"/>
    <w:rsid w:val="004F58B2"/>
    <w:rsid w:val="00505BD0"/>
    <w:rsid w:val="005071D0"/>
    <w:rsid w:val="00512DD6"/>
    <w:rsid w:val="00513A0A"/>
    <w:rsid w:val="00523400"/>
    <w:rsid w:val="005247CD"/>
    <w:rsid w:val="0052677C"/>
    <w:rsid w:val="005343C8"/>
    <w:rsid w:val="0053473B"/>
    <w:rsid w:val="00535B73"/>
    <w:rsid w:val="00547C84"/>
    <w:rsid w:val="0055266F"/>
    <w:rsid w:val="0056477B"/>
    <w:rsid w:val="005673BF"/>
    <w:rsid w:val="00571AC0"/>
    <w:rsid w:val="00575F55"/>
    <w:rsid w:val="00576357"/>
    <w:rsid w:val="0059319A"/>
    <w:rsid w:val="005A1671"/>
    <w:rsid w:val="005A2368"/>
    <w:rsid w:val="005B0F8D"/>
    <w:rsid w:val="005B151D"/>
    <w:rsid w:val="005B56CB"/>
    <w:rsid w:val="005D151B"/>
    <w:rsid w:val="005D1AE1"/>
    <w:rsid w:val="005D42FC"/>
    <w:rsid w:val="005E3517"/>
    <w:rsid w:val="005E386A"/>
    <w:rsid w:val="005E448B"/>
    <w:rsid w:val="005E6727"/>
    <w:rsid w:val="005F0AF3"/>
    <w:rsid w:val="005F3CF6"/>
    <w:rsid w:val="005F6E4E"/>
    <w:rsid w:val="006004BD"/>
    <w:rsid w:val="006067D5"/>
    <w:rsid w:val="00606ED1"/>
    <w:rsid w:val="00612EE2"/>
    <w:rsid w:val="00633951"/>
    <w:rsid w:val="00634901"/>
    <w:rsid w:val="006427CD"/>
    <w:rsid w:val="00642DD0"/>
    <w:rsid w:val="00644D99"/>
    <w:rsid w:val="00647C8D"/>
    <w:rsid w:val="006522A9"/>
    <w:rsid w:val="0065669E"/>
    <w:rsid w:val="00657F14"/>
    <w:rsid w:val="00663FF1"/>
    <w:rsid w:val="006728B0"/>
    <w:rsid w:val="00674E17"/>
    <w:rsid w:val="006765EF"/>
    <w:rsid w:val="006776D4"/>
    <w:rsid w:val="006850CE"/>
    <w:rsid w:val="0068583F"/>
    <w:rsid w:val="00693FB7"/>
    <w:rsid w:val="00694AFA"/>
    <w:rsid w:val="006A1426"/>
    <w:rsid w:val="006A6122"/>
    <w:rsid w:val="006A6B0E"/>
    <w:rsid w:val="006A79E2"/>
    <w:rsid w:val="006B19BD"/>
    <w:rsid w:val="006C4099"/>
    <w:rsid w:val="006D1B19"/>
    <w:rsid w:val="006D391C"/>
    <w:rsid w:val="006E2D57"/>
    <w:rsid w:val="006E55A6"/>
    <w:rsid w:val="006F00BA"/>
    <w:rsid w:val="006F4FB6"/>
    <w:rsid w:val="00700B8E"/>
    <w:rsid w:val="00703917"/>
    <w:rsid w:val="00704310"/>
    <w:rsid w:val="007050EF"/>
    <w:rsid w:val="00710621"/>
    <w:rsid w:val="007158E7"/>
    <w:rsid w:val="00716558"/>
    <w:rsid w:val="0072027C"/>
    <w:rsid w:val="007220E1"/>
    <w:rsid w:val="00727D41"/>
    <w:rsid w:val="00734080"/>
    <w:rsid w:val="00734F6A"/>
    <w:rsid w:val="00736F7B"/>
    <w:rsid w:val="0073753C"/>
    <w:rsid w:val="007504C2"/>
    <w:rsid w:val="007539D9"/>
    <w:rsid w:val="00753C76"/>
    <w:rsid w:val="00753D04"/>
    <w:rsid w:val="00755958"/>
    <w:rsid w:val="00760B97"/>
    <w:rsid w:val="00760E7A"/>
    <w:rsid w:val="00773101"/>
    <w:rsid w:val="00774990"/>
    <w:rsid w:val="00774ED9"/>
    <w:rsid w:val="0077532B"/>
    <w:rsid w:val="007809EA"/>
    <w:rsid w:val="00782653"/>
    <w:rsid w:val="00786E08"/>
    <w:rsid w:val="0079262B"/>
    <w:rsid w:val="00796055"/>
    <w:rsid w:val="007A22BF"/>
    <w:rsid w:val="007B4FE9"/>
    <w:rsid w:val="007C3B50"/>
    <w:rsid w:val="007C5355"/>
    <w:rsid w:val="007D2A76"/>
    <w:rsid w:val="007D7BB3"/>
    <w:rsid w:val="007E758F"/>
    <w:rsid w:val="00803F85"/>
    <w:rsid w:val="00811AE2"/>
    <w:rsid w:val="0081627D"/>
    <w:rsid w:val="00825BD8"/>
    <w:rsid w:val="008267B9"/>
    <w:rsid w:val="00831B0E"/>
    <w:rsid w:val="0083698B"/>
    <w:rsid w:val="00843972"/>
    <w:rsid w:val="0084581D"/>
    <w:rsid w:val="00853774"/>
    <w:rsid w:val="008537B7"/>
    <w:rsid w:val="008537DA"/>
    <w:rsid w:val="0086016A"/>
    <w:rsid w:val="00875A7D"/>
    <w:rsid w:val="008760FA"/>
    <w:rsid w:val="0087764A"/>
    <w:rsid w:val="008840A1"/>
    <w:rsid w:val="0088774B"/>
    <w:rsid w:val="00894275"/>
    <w:rsid w:val="008956FD"/>
    <w:rsid w:val="00896DFE"/>
    <w:rsid w:val="008A0B6B"/>
    <w:rsid w:val="008A717A"/>
    <w:rsid w:val="008B0CAE"/>
    <w:rsid w:val="008B2C53"/>
    <w:rsid w:val="008B30D4"/>
    <w:rsid w:val="008B3E06"/>
    <w:rsid w:val="008B5991"/>
    <w:rsid w:val="008B7B2D"/>
    <w:rsid w:val="008C1047"/>
    <w:rsid w:val="008C16B8"/>
    <w:rsid w:val="008C3B68"/>
    <w:rsid w:val="008C6266"/>
    <w:rsid w:val="008D799B"/>
    <w:rsid w:val="008D7CD4"/>
    <w:rsid w:val="008F116E"/>
    <w:rsid w:val="008F182D"/>
    <w:rsid w:val="008F2F6B"/>
    <w:rsid w:val="008F59BB"/>
    <w:rsid w:val="00907731"/>
    <w:rsid w:val="009107D6"/>
    <w:rsid w:val="009149F7"/>
    <w:rsid w:val="0091557A"/>
    <w:rsid w:val="00915820"/>
    <w:rsid w:val="00917C3C"/>
    <w:rsid w:val="009214CE"/>
    <w:rsid w:val="00934C94"/>
    <w:rsid w:val="00952306"/>
    <w:rsid w:val="009530E0"/>
    <w:rsid w:val="00974303"/>
    <w:rsid w:val="00975F4D"/>
    <w:rsid w:val="00977620"/>
    <w:rsid w:val="00986358"/>
    <w:rsid w:val="00987F33"/>
    <w:rsid w:val="00991589"/>
    <w:rsid w:val="009941C4"/>
    <w:rsid w:val="009966DD"/>
    <w:rsid w:val="00996A47"/>
    <w:rsid w:val="009B6AF1"/>
    <w:rsid w:val="009C1025"/>
    <w:rsid w:val="009C1717"/>
    <w:rsid w:val="009C22B1"/>
    <w:rsid w:val="009C64C6"/>
    <w:rsid w:val="009D0194"/>
    <w:rsid w:val="009D111D"/>
    <w:rsid w:val="009D3283"/>
    <w:rsid w:val="009D32DF"/>
    <w:rsid w:val="009D77C6"/>
    <w:rsid w:val="009E0A48"/>
    <w:rsid w:val="009E18FD"/>
    <w:rsid w:val="009E4232"/>
    <w:rsid w:val="009F4EF0"/>
    <w:rsid w:val="009F7045"/>
    <w:rsid w:val="00A107F3"/>
    <w:rsid w:val="00A1191D"/>
    <w:rsid w:val="00A13D38"/>
    <w:rsid w:val="00A16688"/>
    <w:rsid w:val="00A17966"/>
    <w:rsid w:val="00A22F3E"/>
    <w:rsid w:val="00A270AC"/>
    <w:rsid w:val="00A302BD"/>
    <w:rsid w:val="00A32D7A"/>
    <w:rsid w:val="00A343BB"/>
    <w:rsid w:val="00A343E3"/>
    <w:rsid w:val="00A35752"/>
    <w:rsid w:val="00A46EB5"/>
    <w:rsid w:val="00A5051A"/>
    <w:rsid w:val="00A50BC2"/>
    <w:rsid w:val="00A51519"/>
    <w:rsid w:val="00A57086"/>
    <w:rsid w:val="00A611DA"/>
    <w:rsid w:val="00A637D1"/>
    <w:rsid w:val="00A650EB"/>
    <w:rsid w:val="00A80288"/>
    <w:rsid w:val="00A820F1"/>
    <w:rsid w:val="00A83359"/>
    <w:rsid w:val="00A835B2"/>
    <w:rsid w:val="00A910AA"/>
    <w:rsid w:val="00A9471A"/>
    <w:rsid w:val="00AA16F5"/>
    <w:rsid w:val="00AA1BCF"/>
    <w:rsid w:val="00AB448D"/>
    <w:rsid w:val="00AB45A0"/>
    <w:rsid w:val="00AB51E9"/>
    <w:rsid w:val="00AC2322"/>
    <w:rsid w:val="00AD1E96"/>
    <w:rsid w:val="00AD5EF6"/>
    <w:rsid w:val="00AE1891"/>
    <w:rsid w:val="00AF1878"/>
    <w:rsid w:val="00B00B13"/>
    <w:rsid w:val="00B00D8A"/>
    <w:rsid w:val="00B03B73"/>
    <w:rsid w:val="00B101A3"/>
    <w:rsid w:val="00B10510"/>
    <w:rsid w:val="00B1114C"/>
    <w:rsid w:val="00B161BE"/>
    <w:rsid w:val="00B16F5C"/>
    <w:rsid w:val="00B26216"/>
    <w:rsid w:val="00B30AB0"/>
    <w:rsid w:val="00B30FB7"/>
    <w:rsid w:val="00B3144D"/>
    <w:rsid w:val="00B31A27"/>
    <w:rsid w:val="00B32A09"/>
    <w:rsid w:val="00B34229"/>
    <w:rsid w:val="00B34453"/>
    <w:rsid w:val="00B36163"/>
    <w:rsid w:val="00B374C9"/>
    <w:rsid w:val="00B46CA1"/>
    <w:rsid w:val="00B507C5"/>
    <w:rsid w:val="00B50914"/>
    <w:rsid w:val="00B53FA7"/>
    <w:rsid w:val="00B541D4"/>
    <w:rsid w:val="00B54A7C"/>
    <w:rsid w:val="00B55A10"/>
    <w:rsid w:val="00B6073B"/>
    <w:rsid w:val="00B67F00"/>
    <w:rsid w:val="00B72400"/>
    <w:rsid w:val="00B76500"/>
    <w:rsid w:val="00B77A36"/>
    <w:rsid w:val="00B80C7B"/>
    <w:rsid w:val="00B80F0D"/>
    <w:rsid w:val="00B86CC4"/>
    <w:rsid w:val="00B97B63"/>
    <w:rsid w:val="00BA4857"/>
    <w:rsid w:val="00BA4F04"/>
    <w:rsid w:val="00BA5F60"/>
    <w:rsid w:val="00BB0ACB"/>
    <w:rsid w:val="00BB1312"/>
    <w:rsid w:val="00BB1FCD"/>
    <w:rsid w:val="00BB29F4"/>
    <w:rsid w:val="00BB5E5E"/>
    <w:rsid w:val="00BC55B7"/>
    <w:rsid w:val="00BC7076"/>
    <w:rsid w:val="00BC7466"/>
    <w:rsid w:val="00BD1C7F"/>
    <w:rsid w:val="00BE67B2"/>
    <w:rsid w:val="00C0092E"/>
    <w:rsid w:val="00C03376"/>
    <w:rsid w:val="00C132C7"/>
    <w:rsid w:val="00C2140F"/>
    <w:rsid w:val="00C2418A"/>
    <w:rsid w:val="00C255CD"/>
    <w:rsid w:val="00C26C29"/>
    <w:rsid w:val="00C32616"/>
    <w:rsid w:val="00C4378E"/>
    <w:rsid w:val="00C43EC6"/>
    <w:rsid w:val="00C47DB5"/>
    <w:rsid w:val="00C55A81"/>
    <w:rsid w:val="00C56F10"/>
    <w:rsid w:val="00C6444B"/>
    <w:rsid w:val="00C77C6C"/>
    <w:rsid w:val="00C83030"/>
    <w:rsid w:val="00C84B9B"/>
    <w:rsid w:val="00C852D3"/>
    <w:rsid w:val="00C933F9"/>
    <w:rsid w:val="00C9458B"/>
    <w:rsid w:val="00C9470F"/>
    <w:rsid w:val="00C952CE"/>
    <w:rsid w:val="00C97A9A"/>
    <w:rsid w:val="00CB01DF"/>
    <w:rsid w:val="00CB3916"/>
    <w:rsid w:val="00CC3A5A"/>
    <w:rsid w:val="00CC5240"/>
    <w:rsid w:val="00CC5ADF"/>
    <w:rsid w:val="00CC6BAA"/>
    <w:rsid w:val="00CD63FA"/>
    <w:rsid w:val="00CE0EFB"/>
    <w:rsid w:val="00CE13BE"/>
    <w:rsid w:val="00CF3658"/>
    <w:rsid w:val="00CF4EA7"/>
    <w:rsid w:val="00D0308E"/>
    <w:rsid w:val="00D042EB"/>
    <w:rsid w:val="00D0600A"/>
    <w:rsid w:val="00D0701E"/>
    <w:rsid w:val="00D07827"/>
    <w:rsid w:val="00D12B32"/>
    <w:rsid w:val="00D12D93"/>
    <w:rsid w:val="00D170DB"/>
    <w:rsid w:val="00D20320"/>
    <w:rsid w:val="00D205DB"/>
    <w:rsid w:val="00D27CC9"/>
    <w:rsid w:val="00D50241"/>
    <w:rsid w:val="00D53324"/>
    <w:rsid w:val="00D544C3"/>
    <w:rsid w:val="00D614FE"/>
    <w:rsid w:val="00D639A4"/>
    <w:rsid w:val="00D8689D"/>
    <w:rsid w:val="00D86EB7"/>
    <w:rsid w:val="00D91037"/>
    <w:rsid w:val="00D9555E"/>
    <w:rsid w:val="00DA1EE2"/>
    <w:rsid w:val="00DA5196"/>
    <w:rsid w:val="00DA5FDC"/>
    <w:rsid w:val="00DA7965"/>
    <w:rsid w:val="00DB2AB7"/>
    <w:rsid w:val="00DB51C0"/>
    <w:rsid w:val="00DC1EB5"/>
    <w:rsid w:val="00DC2896"/>
    <w:rsid w:val="00DC3B73"/>
    <w:rsid w:val="00DC775D"/>
    <w:rsid w:val="00DC78F2"/>
    <w:rsid w:val="00DD36AA"/>
    <w:rsid w:val="00DD6410"/>
    <w:rsid w:val="00DE0A28"/>
    <w:rsid w:val="00DE3F9B"/>
    <w:rsid w:val="00DE5833"/>
    <w:rsid w:val="00DE7427"/>
    <w:rsid w:val="00DF0D80"/>
    <w:rsid w:val="00DF75A8"/>
    <w:rsid w:val="00E0613B"/>
    <w:rsid w:val="00E112E9"/>
    <w:rsid w:val="00E124AD"/>
    <w:rsid w:val="00E12D3E"/>
    <w:rsid w:val="00E14D43"/>
    <w:rsid w:val="00E201FA"/>
    <w:rsid w:val="00E2512E"/>
    <w:rsid w:val="00E271D9"/>
    <w:rsid w:val="00E34BB6"/>
    <w:rsid w:val="00E370B4"/>
    <w:rsid w:val="00E4184A"/>
    <w:rsid w:val="00E446AB"/>
    <w:rsid w:val="00E4778F"/>
    <w:rsid w:val="00E65F26"/>
    <w:rsid w:val="00E740CD"/>
    <w:rsid w:val="00E76EDD"/>
    <w:rsid w:val="00E83B34"/>
    <w:rsid w:val="00E91569"/>
    <w:rsid w:val="00E966FA"/>
    <w:rsid w:val="00EA4C49"/>
    <w:rsid w:val="00EA4CF5"/>
    <w:rsid w:val="00EA6571"/>
    <w:rsid w:val="00EB46AE"/>
    <w:rsid w:val="00EC01FF"/>
    <w:rsid w:val="00EC1E49"/>
    <w:rsid w:val="00EC2DBA"/>
    <w:rsid w:val="00EC3885"/>
    <w:rsid w:val="00EC3B64"/>
    <w:rsid w:val="00ED26C3"/>
    <w:rsid w:val="00ED672C"/>
    <w:rsid w:val="00ED7685"/>
    <w:rsid w:val="00EE1F53"/>
    <w:rsid w:val="00EE4F3D"/>
    <w:rsid w:val="00EE64EC"/>
    <w:rsid w:val="00F05904"/>
    <w:rsid w:val="00F06E0E"/>
    <w:rsid w:val="00F1360C"/>
    <w:rsid w:val="00F15024"/>
    <w:rsid w:val="00F203AF"/>
    <w:rsid w:val="00F22D53"/>
    <w:rsid w:val="00F25E63"/>
    <w:rsid w:val="00F25E81"/>
    <w:rsid w:val="00F36769"/>
    <w:rsid w:val="00F36DB0"/>
    <w:rsid w:val="00F411E8"/>
    <w:rsid w:val="00F46BE8"/>
    <w:rsid w:val="00F4722F"/>
    <w:rsid w:val="00F5404E"/>
    <w:rsid w:val="00F557C9"/>
    <w:rsid w:val="00F55F18"/>
    <w:rsid w:val="00F56729"/>
    <w:rsid w:val="00F5722F"/>
    <w:rsid w:val="00F61744"/>
    <w:rsid w:val="00F6201B"/>
    <w:rsid w:val="00F64015"/>
    <w:rsid w:val="00F76877"/>
    <w:rsid w:val="00F7771B"/>
    <w:rsid w:val="00F82B8F"/>
    <w:rsid w:val="00F86CA5"/>
    <w:rsid w:val="00F87FDC"/>
    <w:rsid w:val="00F93060"/>
    <w:rsid w:val="00F94AE3"/>
    <w:rsid w:val="00F94C19"/>
    <w:rsid w:val="00FB023A"/>
    <w:rsid w:val="00FB4E8F"/>
    <w:rsid w:val="00FC076F"/>
    <w:rsid w:val="00FC11B7"/>
    <w:rsid w:val="00FC74F4"/>
    <w:rsid w:val="00FD2516"/>
    <w:rsid w:val="00FD2768"/>
    <w:rsid w:val="00FD28C9"/>
    <w:rsid w:val="00FD4B38"/>
    <w:rsid w:val="00FE3BFE"/>
    <w:rsid w:val="00FF494F"/>
    <w:rsid w:val="00FF54DC"/>
    <w:rsid w:val="00FF5CE6"/>
    <w:rsid w:val="00FF5F1B"/>
    <w:rsid w:val="00FF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32526-D453-4D54-B8CD-67642ACA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F1"/>
    <w:rPr>
      <w:rFonts w:asciiTheme="majorHAnsi" w:hAnsiTheme="majorHAnsi"/>
      <w:color w:val="000000" w:themeColor="text1"/>
    </w:rPr>
  </w:style>
  <w:style w:type="paragraph" w:styleId="Rubrik1">
    <w:name w:val="heading 1"/>
    <w:basedOn w:val="Brdtext"/>
    <w:next w:val="Brdtext"/>
    <w:link w:val="Rubrik1Char"/>
    <w:uiPriority w:val="9"/>
    <w:qFormat/>
    <w:rsid w:val="000B73C1"/>
    <w:pPr>
      <w:keepNext/>
      <w:spacing w:before="240" w:after="130" w:line="260" w:lineRule="atLeast"/>
      <w:outlineLvl w:val="0"/>
    </w:pPr>
    <w:rPr>
      <w:rFonts w:ascii="Microsoft JhengHei" w:eastAsia="Microsoft JhengHei" w:hAnsi="Microsoft JhengHei" w:cs="Times New Roman"/>
      <w:b/>
      <w:caps/>
      <w:color w:val="008000"/>
      <w:kern w:val="28"/>
      <w:sz w:val="48"/>
      <w:szCs w:val="20"/>
      <w:lang w:val="en-GB" w:eastAsia="sv-SE"/>
    </w:rPr>
  </w:style>
  <w:style w:type="paragraph" w:styleId="Rubrik2">
    <w:name w:val="heading 2"/>
    <w:basedOn w:val="Normal"/>
    <w:next w:val="Normal"/>
    <w:link w:val="Rubrik2Char"/>
    <w:autoRedefine/>
    <w:uiPriority w:val="9"/>
    <w:unhideWhenUsed/>
    <w:qFormat/>
    <w:rsid w:val="00663FF1"/>
    <w:pPr>
      <w:keepNext/>
      <w:keepLines/>
      <w:spacing w:before="440" w:after="240"/>
      <w:outlineLvl w:val="1"/>
    </w:pPr>
    <w:rPr>
      <w:rFonts w:eastAsiaTheme="majorEastAsia" w:cstheme="majorBidi"/>
      <w:bCs/>
      <w:caps/>
      <w:color w:val="008000"/>
      <w:sz w:val="3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73C1"/>
    <w:rPr>
      <w:rFonts w:ascii="Microsoft JhengHei" w:eastAsia="Microsoft JhengHei" w:hAnsi="Microsoft JhengHei" w:cs="Times New Roman"/>
      <w:b/>
      <w:caps/>
      <w:color w:val="008000"/>
      <w:kern w:val="28"/>
      <w:sz w:val="48"/>
      <w:szCs w:val="20"/>
      <w:lang w:val="en-GB" w:eastAsia="sv-SE"/>
    </w:rPr>
  </w:style>
  <w:style w:type="paragraph" w:styleId="Brdtext">
    <w:name w:val="Body Text"/>
    <w:basedOn w:val="Normal"/>
    <w:link w:val="BrdtextChar"/>
    <w:uiPriority w:val="99"/>
    <w:semiHidden/>
    <w:unhideWhenUsed/>
    <w:rsid w:val="000B73C1"/>
    <w:pPr>
      <w:spacing w:after="120"/>
    </w:pPr>
  </w:style>
  <w:style w:type="character" w:customStyle="1" w:styleId="BrdtextChar">
    <w:name w:val="Brödtext Char"/>
    <w:basedOn w:val="Standardstycketeckensnitt"/>
    <w:link w:val="Brdtext"/>
    <w:uiPriority w:val="99"/>
    <w:semiHidden/>
    <w:rsid w:val="000B73C1"/>
  </w:style>
  <w:style w:type="character" w:customStyle="1" w:styleId="Rubrik2Char">
    <w:name w:val="Rubrik 2 Char"/>
    <w:basedOn w:val="Standardstycketeckensnitt"/>
    <w:link w:val="Rubrik2"/>
    <w:uiPriority w:val="9"/>
    <w:rsid w:val="00663FF1"/>
    <w:rPr>
      <w:rFonts w:asciiTheme="majorHAnsi" w:eastAsiaTheme="majorEastAsia" w:hAnsiTheme="majorHAnsi" w:cstheme="majorBidi"/>
      <w:bCs/>
      <w:caps/>
      <w:color w:val="008000"/>
      <w:sz w:val="32"/>
      <w:szCs w:val="28"/>
    </w:rPr>
  </w:style>
  <w:style w:type="paragraph" w:styleId="Liststycke">
    <w:name w:val="List Paragraph"/>
    <w:basedOn w:val="Normal"/>
    <w:link w:val="ListstyckeChar"/>
    <w:uiPriority w:val="34"/>
    <w:qFormat/>
    <w:rsid w:val="00663FF1"/>
    <w:pPr>
      <w:numPr>
        <w:numId w:val="1"/>
      </w:numPr>
      <w:pBdr>
        <w:left w:val="single" w:sz="24" w:space="4" w:color="008000"/>
      </w:pBdr>
      <w:tabs>
        <w:tab w:val="left" w:pos="0"/>
        <w:tab w:val="left" w:pos="567"/>
        <w:tab w:val="left" w:pos="1276"/>
        <w:tab w:val="left" w:pos="2552"/>
        <w:tab w:val="left" w:pos="3828"/>
        <w:tab w:val="left" w:pos="5103"/>
        <w:tab w:val="left" w:pos="6379"/>
        <w:tab w:val="right" w:pos="8364"/>
      </w:tabs>
      <w:spacing w:after="0" w:line="240" w:lineRule="auto"/>
      <w:contextualSpacing/>
    </w:pPr>
    <w:rPr>
      <w:rFonts w:eastAsia="Times New Roman" w:cs="Times New Roman"/>
      <w:szCs w:val="20"/>
      <w:lang w:val="en-GB" w:eastAsia="sv-SE"/>
    </w:rPr>
  </w:style>
  <w:style w:type="character" w:customStyle="1" w:styleId="ListstyckeChar">
    <w:name w:val="Liststycke Char"/>
    <w:basedOn w:val="Standardstycketeckensnitt"/>
    <w:link w:val="Liststycke"/>
    <w:uiPriority w:val="34"/>
    <w:locked/>
    <w:rsid w:val="00663FF1"/>
    <w:rPr>
      <w:rFonts w:asciiTheme="majorHAnsi" w:eastAsia="Times New Roman" w:hAnsiTheme="majorHAnsi" w:cs="Times New Roman"/>
      <w:color w:val="000000" w:themeColor="text1"/>
      <w:szCs w:val="20"/>
      <w:lang w:val="en-GB" w:eastAsia="sv-SE"/>
    </w:rPr>
  </w:style>
  <w:style w:type="paragraph" w:styleId="Fotnotstext">
    <w:name w:val="footnote text"/>
    <w:basedOn w:val="Normal"/>
    <w:link w:val="FotnotstextChar"/>
    <w:uiPriority w:val="99"/>
    <w:unhideWhenUsed/>
    <w:rsid w:val="00663FF1"/>
    <w:pPr>
      <w:spacing w:after="0" w:line="240" w:lineRule="auto"/>
    </w:pPr>
  </w:style>
  <w:style w:type="character" w:customStyle="1" w:styleId="FotnotstextChar">
    <w:name w:val="Fotnotstext Char"/>
    <w:basedOn w:val="Standardstycketeckensnitt"/>
    <w:link w:val="Fotnotstext"/>
    <w:uiPriority w:val="99"/>
    <w:rsid w:val="00663FF1"/>
    <w:rPr>
      <w:rFonts w:asciiTheme="majorHAnsi" w:hAnsiTheme="majorHAnsi"/>
      <w:color w:val="000000" w:themeColor="text1"/>
    </w:rPr>
  </w:style>
  <w:style w:type="character" w:styleId="Fotnotsreferens">
    <w:name w:val="footnote reference"/>
    <w:basedOn w:val="Standardstycketeckensnitt"/>
    <w:uiPriority w:val="99"/>
    <w:unhideWhenUsed/>
    <w:rsid w:val="00663FF1"/>
    <w:rPr>
      <w:vertAlign w:val="superscript"/>
    </w:rPr>
  </w:style>
  <w:style w:type="paragraph" w:styleId="Citat">
    <w:name w:val="Quote"/>
    <w:basedOn w:val="Normal"/>
    <w:next w:val="Normal"/>
    <w:link w:val="CitatChar"/>
    <w:uiPriority w:val="29"/>
    <w:qFormat/>
    <w:rsid w:val="00663FF1"/>
    <w:pPr>
      <w:pBdr>
        <w:left w:val="single" w:sz="24" w:space="4" w:color="008000"/>
      </w:pBdr>
    </w:pPr>
    <w:rPr>
      <w:iCs/>
      <w:color w:val="595959" w:themeColor="text1" w:themeTint="A6"/>
      <w:sz w:val="28"/>
    </w:rPr>
  </w:style>
  <w:style w:type="character" w:customStyle="1" w:styleId="CitatChar">
    <w:name w:val="Citat Char"/>
    <w:basedOn w:val="Standardstycketeckensnitt"/>
    <w:link w:val="Citat"/>
    <w:uiPriority w:val="29"/>
    <w:rsid w:val="00663FF1"/>
    <w:rPr>
      <w:rFonts w:asciiTheme="majorHAnsi" w:hAnsiTheme="majorHAnsi"/>
      <w:iCs/>
      <w:color w:val="595959" w:themeColor="text1" w:themeTint="A6"/>
      <w:sz w:val="28"/>
    </w:rPr>
  </w:style>
  <w:style w:type="paragraph" w:styleId="Underrubrik">
    <w:name w:val="Subtitle"/>
    <w:basedOn w:val="Normal"/>
    <w:next w:val="Normal"/>
    <w:link w:val="UnderrubrikChar"/>
    <w:qFormat/>
    <w:rsid w:val="00663FF1"/>
    <w:pPr>
      <w:numPr>
        <w:ilvl w:val="1"/>
      </w:numPr>
      <w:spacing w:before="120" w:after="120"/>
      <w:jc w:val="center"/>
    </w:pPr>
    <w:rPr>
      <w:rFonts w:eastAsia="SimSun" w:cs="Times New Roman"/>
      <w:color w:val="58585B"/>
      <w:spacing w:val="15"/>
      <w:sz w:val="20"/>
      <w:lang w:eastAsia="zh-CN"/>
    </w:rPr>
  </w:style>
  <w:style w:type="character" w:customStyle="1" w:styleId="UnderrubrikChar">
    <w:name w:val="Underrubrik Char"/>
    <w:basedOn w:val="Standardstycketeckensnitt"/>
    <w:link w:val="Underrubrik"/>
    <w:rsid w:val="00663FF1"/>
    <w:rPr>
      <w:rFonts w:asciiTheme="majorHAnsi" w:eastAsia="SimSun" w:hAnsiTheme="majorHAnsi" w:cs="Times New Roman"/>
      <w:color w:val="58585B"/>
      <w:spacing w:val="15"/>
      <w:sz w:val="20"/>
      <w:lang w:eastAsia="zh-CN"/>
    </w:rPr>
  </w:style>
  <w:style w:type="character" w:customStyle="1" w:styleId="hps">
    <w:name w:val="hps"/>
    <w:rsid w:val="00663FF1"/>
  </w:style>
  <w:style w:type="table" w:styleId="Tabellrutntljust">
    <w:name w:val="Grid Table Light"/>
    <w:basedOn w:val="Normaltabell"/>
    <w:uiPriority w:val="40"/>
    <w:rsid w:val="00663F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horttext">
    <w:name w:val="short_text"/>
    <w:rsid w:val="00663FF1"/>
  </w:style>
  <w:style w:type="paragraph" w:customStyle="1" w:styleId="Allmntstyckeformat">
    <w:name w:val="[Allmänt styckeformat]"/>
    <w:basedOn w:val="Normal"/>
    <w:uiPriority w:val="99"/>
    <w:rsid w:val="00663FF1"/>
    <w:pPr>
      <w:autoSpaceDE w:val="0"/>
      <w:autoSpaceDN w:val="0"/>
      <w:adjustRightInd w:val="0"/>
      <w:spacing w:after="0" w:line="288" w:lineRule="auto"/>
      <w:textAlignment w:val="center"/>
    </w:pPr>
    <w:rPr>
      <w:rFonts w:ascii="Minion Pro" w:eastAsia="SimSun" w:hAnsi="Minion Pro" w:cs="Minion Pro"/>
      <w:color w:val="000000"/>
      <w:sz w:val="24"/>
      <w:szCs w:val="24"/>
      <w:lang w:val="sv-SE" w:eastAsia="sv-SE"/>
    </w:rPr>
  </w:style>
  <w:style w:type="character" w:styleId="Betoning">
    <w:name w:val="Emphasis"/>
    <w:uiPriority w:val="20"/>
    <w:qFormat/>
    <w:rsid w:val="00663FF1"/>
    <w:rPr>
      <w:rFonts w:ascii="Calibri Light" w:hAnsi="Calibri Light"/>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kalkylblad.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3"/>
            </a:pPr>
            <a:r>
              <a:rPr lang="en-US" sz="1203">
                <a:latin typeface="Arial" panose="020B0604020202020204" pitchFamily="34" charset="0"/>
                <a:cs typeface="Arial" panose="020B0604020202020204" pitchFamily="34" charset="0"/>
              </a:rPr>
              <a:t>Expenditure of Hammarby Sjöstad</a:t>
            </a:r>
            <a:r>
              <a:rPr lang="en-US" sz="1203" baseline="0">
                <a:latin typeface="Arial" panose="020B0604020202020204" pitchFamily="34" charset="0"/>
                <a:cs typeface="Arial" panose="020B0604020202020204" pitchFamily="34" charset="0"/>
              </a:rPr>
              <a:t> </a:t>
            </a:r>
            <a:r>
              <a:rPr lang="en-US" sz="1203">
                <a:latin typeface="Arial" panose="020B0604020202020204" pitchFamily="34" charset="0"/>
                <a:cs typeface="Arial" panose="020B0604020202020204" pitchFamily="34" charset="0"/>
              </a:rPr>
              <a:t>(%)</a:t>
            </a:r>
          </a:p>
        </c:rich>
      </c:tx>
      <c:overlay val="0"/>
      <c:spPr>
        <a:ln>
          <a:noFill/>
        </a:ln>
      </c:spPr>
    </c:title>
    <c:autoTitleDeleted val="0"/>
    <c:plotArea>
      <c:layout/>
      <c:pieChart>
        <c:varyColors val="1"/>
        <c:ser>
          <c:idx val="0"/>
          <c:order val="0"/>
          <c:tx>
            <c:strRef>
              <c:f>Blad1!$B$1</c:f>
              <c:strCache>
                <c:ptCount val="1"/>
                <c:pt idx="0">
                  <c:v>Expenditure of Hammarby Sjöstad</c:v>
                </c:pt>
              </c:strCache>
            </c:strRef>
          </c:tx>
          <c:dPt>
            <c:idx val="0"/>
            <c:bubble3D val="0"/>
            <c:extLst>
              <c:ext xmlns:c16="http://schemas.microsoft.com/office/drawing/2014/chart" uri="{C3380CC4-5D6E-409C-BE32-E72D297353CC}">
                <c16:uniqueId val="{00000000-F6FE-084E-809E-F5A5BB535721}"/>
              </c:ext>
            </c:extLst>
          </c:dPt>
          <c:dPt>
            <c:idx val="1"/>
            <c:bubble3D val="0"/>
            <c:extLst>
              <c:ext xmlns:c16="http://schemas.microsoft.com/office/drawing/2014/chart" uri="{C3380CC4-5D6E-409C-BE32-E72D297353CC}">
                <c16:uniqueId val="{00000001-F6FE-084E-809E-F5A5BB535721}"/>
              </c:ext>
            </c:extLst>
          </c:dPt>
          <c:dLbls>
            <c:dLbl>
              <c:idx val="0"/>
              <c:layout>
                <c:manualLayout>
                  <c:x val="-8.7133420822397195E-2"/>
                  <c:y val="-0.18030839895013101"/>
                </c:manualLayout>
              </c:layout>
              <c:spPr>
                <a:noFill/>
                <a:ln w="25480">
                  <a:noFill/>
                </a:ln>
              </c:spPr>
              <c:txPr>
                <a:bodyPr wrap="square" lIns="38100" tIns="19050" rIns="38100" bIns="19050" anchor="ctr">
                  <a:spAutoFit/>
                </a:bodyPr>
                <a:lstStyle/>
                <a:p>
                  <a:pPr>
                    <a:defRPr/>
                  </a:pPr>
                  <a:endParaRPr lang="sv-SE"/>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FE-084E-809E-F5A5BB535721}"/>
                </c:ext>
              </c:extLst>
            </c:dLbl>
            <c:dLbl>
              <c:idx val="1"/>
              <c:layout>
                <c:manualLayout>
                  <c:x val="6.1388560804899399E-2"/>
                  <c:y val="0.143337270341207"/>
                </c:manualLayout>
              </c:layout>
              <c:spPr>
                <a:noFill/>
                <a:ln w="25480">
                  <a:noFill/>
                </a:ln>
              </c:spPr>
              <c:txPr>
                <a:bodyPr wrap="square" lIns="38100" tIns="19050" rIns="38100" bIns="19050" anchor="ctr">
                  <a:spAutoFit/>
                </a:bodyPr>
                <a:lstStyle/>
                <a:p>
                  <a:pPr>
                    <a:defRPr/>
                  </a:pPr>
                  <a:endParaRPr lang="sv-SE"/>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FE-084E-809E-F5A5BB535721}"/>
                </c:ext>
              </c:extLst>
            </c:dLbl>
            <c:spPr>
              <a:noFill/>
              <a:ln w="25480">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Blad1!$A$2:$A$3</c:f>
              <c:strCache>
                <c:ptCount val="2"/>
                <c:pt idx="0">
                  <c:v>City of Stockholm</c:v>
                </c:pt>
                <c:pt idx="1">
                  <c:v>Developers</c:v>
                </c:pt>
              </c:strCache>
            </c:strRef>
          </c:cat>
          <c:val>
            <c:numRef>
              <c:f>Blad1!$B$2:$B$3</c:f>
              <c:numCache>
                <c:formatCode>General</c:formatCode>
                <c:ptCount val="2"/>
                <c:pt idx="0">
                  <c:v>83.4</c:v>
                </c:pt>
                <c:pt idx="1">
                  <c:v>16.600000000000001</c:v>
                </c:pt>
              </c:numCache>
            </c:numRef>
          </c:val>
          <c:extLst>
            <c:ext xmlns:c16="http://schemas.microsoft.com/office/drawing/2014/chart" uri="{C3380CC4-5D6E-409C-BE32-E72D297353CC}">
              <c16:uniqueId val="{00000002-F6FE-084E-809E-F5A5BB535721}"/>
            </c:ext>
          </c:extLst>
        </c:ser>
        <c:dLbls>
          <c:showLegendKey val="0"/>
          <c:showVal val="0"/>
          <c:showCatName val="0"/>
          <c:showSerName val="0"/>
          <c:showPercent val="0"/>
          <c:showBubbleSize val="0"/>
          <c:showLeaderLines val="1"/>
        </c:dLbls>
        <c:firstSliceAng val="0"/>
      </c:pieChart>
      <c:spPr>
        <a:noFill/>
        <a:ln w="25404">
          <a:noFill/>
        </a:ln>
      </c:spPr>
    </c:plotArea>
    <c:legend>
      <c:legendPos val="r"/>
      <c:legendEntry>
        <c:idx val="0"/>
        <c:txPr>
          <a:bodyPr/>
          <a:lstStyle/>
          <a:p>
            <a:pPr>
              <a:defRPr>
                <a:latin typeface="Arial" panose="020B0604020202020204" pitchFamily="34" charset="0"/>
                <a:cs typeface="Arial" panose="020B0604020202020204" pitchFamily="34" charset="0"/>
              </a:defRPr>
            </a:pPr>
            <a:endParaRPr lang="sv-SE"/>
          </a:p>
        </c:txPr>
      </c:legendEntry>
      <c:legendEntry>
        <c:idx val="1"/>
        <c:txPr>
          <a:bodyPr/>
          <a:lstStyle/>
          <a:p>
            <a:pPr>
              <a:defRPr>
                <a:latin typeface="Arial" panose="020B0604020202020204" pitchFamily="34" charset="0"/>
                <a:cs typeface="Arial" panose="020B0604020202020204" pitchFamily="34" charset="0"/>
              </a:defRPr>
            </a:pPr>
            <a:endParaRPr lang="sv-SE"/>
          </a:p>
        </c:txPr>
      </c:legendEntry>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14</Pages>
  <Words>4128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Huang</dc:creator>
  <cp:keywords/>
  <dc:description/>
  <cp:lastModifiedBy>Lennart Backlund</cp:lastModifiedBy>
  <cp:revision>2</cp:revision>
  <dcterms:created xsi:type="dcterms:W3CDTF">2019-06-27T15:20:00Z</dcterms:created>
  <dcterms:modified xsi:type="dcterms:W3CDTF">2019-06-27T15:20:00Z</dcterms:modified>
</cp:coreProperties>
</file>